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A4FCCC">
      <w:pPr>
        <w:spacing w:line="360" w:lineRule="auto"/>
        <w:jc w:val="center"/>
        <w:rPr>
          <w:b/>
          <w:snapToGrid w:val="0"/>
          <w:sz w:val="52"/>
          <w:szCs w:val="52"/>
        </w:rPr>
      </w:pPr>
    </w:p>
    <w:p w14:paraId="22B77192">
      <w:pPr>
        <w:spacing w:line="360" w:lineRule="auto"/>
        <w:jc w:val="center"/>
        <w:rPr>
          <w:b/>
          <w:snapToGrid w:val="0"/>
          <w:sz w:val="52"/>
          <w:szCs w:val="52"/>
        </w:rPr>
      </w:pPr>
    </w:p>
    <w:p w14:paraId="2E82D3AF">
      <w:pPr>
        <w:adjustRightInd w:val="0"/>
        <w:snapToGrid w:val="0"/>
        <w:spacing w:line="300" w:lineRule="auto"/>
        <w:jc w:val="center"/>
        <w:rPr>
          <w:rFonts w:eastAsia="方正小标宋简体"/>
          <w:snapToGrid w:val="0"/>
          <w:sz w:val="40"/>
          <w:szCs w:val="36"/>
          <w:u w:val="single"/>
        </w:rPr>
      </w:pPr>
      <w:bookmarkStart w:id="0" w:name="OLE_LINK1"/>
      <w:r>
        <w:rPr>
          <w:rFonts w:hint="eastAsia" w:eastAsia="方正小标宋简体"/>
          <w:snapToGrid w:val="0"/>
          <w:sz w:val="40"/>
          <w:szCs w:val="36"/>
          <w:u w:val="single"/>
        </w:rPr>
        <w:t>中国药科大学水环境治理项目工程勘测服务</w:t>
      </w:r>
      <w:bookmarkEnd w:id="0"/>
    </w:p>
    <w:p w14:paraId="6BFFB58A">
      <w:pPr>
        <w:adjustRightInd w:val="0"/>
        <w:snapToGrid w:val="0"/>
        <w:spacing w:line="300" w:lineRule="auto"/>
        <w:jc w:val="center"/>
        <w:rPr>
          <w:b/>
          <w:snapToGrid w:val="0"/>
          <w:sz w:val="72"/>
        </w:rPr>
      </w:pPr>
    </w:p>
    <w:p w14:paraId="4BE46E96">
      <w:pPr>
        <w:adjustRightInd w:val="0"/>
        <w:snapToGrid w:val="0"/>
        <w:spacing w:line="300" w:lineRule="auto"/>
        <w:ind w:right="38" w:rightChars="19"/>
        <w:jc w:val="center"/>
        <w:rPr>
          <w:b/>
          <w:snapToGrid w:val="0"/>
          <w:sz w:val="72"/>
        </w:rPr>
      </w:pPr>
      <w:r>
        <w:rPr>
          <w:rFonts w:hint="eastAsia"/>
          <w:b/>
          <w:snapToGrid w:val="0"/>
          <w:sz w:val="72"/>
          <w:lang w:val="en-US" w:eastAsia="zh-CN"/>
        </w:rPr>
        <w:t>询</w:t>
      </w:r>
      <w:r>
        <w:rPr>
          <w:rFonts w:hint="eastAsia"/>
          <w:b/>
          <w:snapToGrid w:val="0"/>
          <w:sz w:val="72"/>
        </w:rPr>
        <w:t xml:space="preserve">  价  文  件</w:t>
      </w:r>
    </w:p>
    <w:p w14:paraId="15734949">
      <w:pPr>
        <w:adjustRightInd w:val="0"/>
        <w:snapToGrid w:val="0"/>
        <w:spacing w:line="300" w:lineRule="auto"/>
        <w:jc w:val="center"/>
        <w:rPr>
          <w:snapToGrid w:val="0"/>
          <w:sz w:val="24"/>
          <w:szCs w:val="24"/>
        </w:rPr>
      </w:pPr>
    </w:p>
    <w:p w14:paraId="02CF325E">
      <w:pPr>
        <w:adjustRightInd w:val="0"/>
        <w:snapToGrid w:val="0"/>
        <w:spacing w:line="300" w:lineRule="auto"/>
        <w:jc w:val="center"/>
        <w:rPr>
          <w:b/>
          <w:snapToGrid w:val="0"/>
          <w:sz w:val="30"/>
        </w:rPr>
      </w:pPr>
    </w:p>
    <w:p w14:paraId="61CBE024">
      <w:pPr>
        <w:adjustRightInd w:val="0"/>
        <w:snapToGrid w:val="0"/>
        <w:spacing w:line="300" w:lineRule="auto"/>
        <w:jc w:val="center"/>
        <w:rPr>
          <w:b/>
          <w:snapToGrid w:val="0"/>
          <w:sz w:val="30"/>
        </w:rPr>
      </w:pPr>
    </w:p>
    <w:p w14:paraId="6562B46C">
      <w:pPr>
        <w:pStyle w:val="21"/>
        <w:adjustRightInd w:val="0"/>
        <w:snapToGrid w:val="0"/>
        <w:spacing w:line="300" w:lineRule="auto"/>
        <w:jc w:val="center"/>
        <w:rPr>
          <w:rFonts w:ascii="Times New Roman" w:hAnsi="Times New Roman"/>
          <w:sz w:val="24"/>
          <w:szCs w:val="24"/>
        </w:rPr>
      </w:pPr>
    </w:p>
    <w:p w14:paraId="16B080EF">
      <w:pPr>
        <w:adjustRightInd w:val="0"/>
        <w:snapToGrid w:val="0"/>
        <w:spacing w:line="300" w:lineRule="auto"/>
        <w:jc w:val="center"/>
        <w:rPr>
          <w:b/>
          <w:snapToGrid w:val="0"/>
          <w:sz w:val="24"/>
          <w:szCs w:val="24"/>
        </w:rPr>
      </w:pPr>
    </w:p>
    <w:p w14:paraId="0C4F014E">
      <w:pPr>
        <w:adjustRightInd w:val="0"/>
        <w:snapToGrid w:val="0"/>
        <w:spacing w:line="300" w:lineRule="auto"/>
        <w:jc w:val="center"/>
        <w:rPr>
          <w:b/>
          <w:snapToGrid w:val="0"/>
          <w:sz w:val="24"/>
          <w:szCs w:val="24"/>
        </w:rPr>
      </w:pPr>
    </w:p>
    <w:p w14:paraId="4DF1D4D1">
      <w:pPr>
        <w:adjustRightInd w:val="0"/>
        <w:snapToGrid w:val="0"/>
        <w:spacing w:line="300" w:lineRule="auto"/>
        <w:jc w:val="center"/>
        <w:rPr>
          <w:b/>
          <w:snapToGrid w:val="0"/>
          <w:sz w:val="24"/>
          <w:szCs w:val="24"/>
        </w:rPr>
      </w:pPr>
    </w:p>
    <w:p w14:paraId="517E3AB4">
      <w:pPr>
        <w:adjustRightInd w:val="0"/>
        <w:snapToGrid w:val="0"/>
        <w:spacing w:line="300" w:lineRule="auto"/>
        <w:jc w:val="center"/>
        <w:rPr>
          <w:b/>
          <w:snapToGrid w:val="0"/>
          <w:sz w:val="24"/>
          <w:szCs w:val="24"/>
        </w:rPr>
      </w:pPr>
    </w:p>
    <w:p w14:paraId="729EF0FE">
      <w:pPr>
        <w:adjustRightInd w:val="0"/>
        <w:snapToGrid w:val="0"/>
        <w:spacing w:line="300" w:lineRule="auto"/>
        <w:jc w:val="center"/>
        <w:rPr>
          <w:b/>
          <w:snapToGrid w:val="0"/>
          <w:sz w:val="24"/>
          <w:szCs w:val="24"/>
        </w:rPr>
      </w:pPr>
    </w:p>
    <w:p w14:paraId="569025CD">
      <w:pPr>
        <w:adjustRightInd w:val="0"/>
        <w:snapToGrid w:val="0"/>
        <w:spacing w:line="300" w:lineRule="auto"/>
        <w:jc w:val="center"/>
        <w:rPr>
          <w:b/>
          <w:snapToGrid w:val="0"/>
          <w:sz w:val="24"/>
          <w:szCs w:val="24"/>
        </w:rPr>
      </w:pPr>
    </w:p>
    <w:p w14:paraId="297FB342">
      <w:pPr>
        <w:adjustRightInd w:val="0"/>
        <w:snapToGrid w:val="0"/>
        <w:spacing w:line="300" w:lineRule="auto"/>
        <w:jc w:val="center"/>
        <w:rPr>
          <w:b/>
          <w:snapToGrid w:val="0"/>
          <w:sz w:val="24"/>
          <w:szCs w:val="24"/>
        </w:rPr>
      </w:pPr>
    </w:p>
    <w:p w14:paraId="2A324DBC">
      <w:pPr>
        <w:adjustRightInd w:val="0"/>
        <w:snapToGrid w:val="0"/>
        <w:spacing w:line="300" w:lineRule="auto"/>
        <w:jc w:val="center"/>
        <w:rPr>
          <w:b/>
          <w:snapToGrid w:val="0"/>
          <w:sz w:val="24"/>
          <w:szCs w:val="24"/>
        </w:rPr>
      </w:pPr>
    </w:p>
    <w:p w14:paraId="7307081B">
      <w:pPr>
        <w:adjustRightInd w:val="0"/>
        <w:snapToGrid w:val="0"/>
        <w:spacing w:line="300" w:lineRule="auto"/>
        <w:jc w:val="center"/>
        <w:rPr>
          <w:b/>
          <w:snapToGrid w:val="0"/>
          <w:sz w:val="24"/>
          <w:szCs w:val="24"/>
        </w:rPr>
      </w:pPr>
    </w:p>
    <w:p w14:paraId="6FCEDD74">
      <w:pPr>
        <w:adjustRightInd w:val="0"/>
        <w:snapToGrid w:val="0"/>
        <w:spacing w:line="300" w:lineRule="auto"/>
        <w:rPr>
          <w:b/>
          <w:snapToGrid w:val="0"/>
          <w:sz w:val="24"/>
          <w:szCs w:val="24"/>
        </w:rPr>
      </w:pPr>
    </w:p>
    <w:p w14:paraId="6E12AFD6">
      <w:pPr>
        <w:adjustRightInd w:val="0"/>
        <w:snapToGrid w:val="0"/>
        <w:spacing w:line="300" w:lineRule="auto"/>
        <w:rPr>
          <w:b/>
          <w:snapToGrid w:val="0"/>
          <w:sz w:val="24"/>
          <w:szCs w:val="24"/>
        </w:rPr>
      </w:pPr>
    </w:p>
    <w:p w14:paraId="5DF098F4">
      <w:pPr>
        <w:adjustRightInd w:val="0"/>
        <w:snapToGrid w:val="0"/>
        <w:spacing w:line="300" w:lineRule="auto"/>
        <w:jc w:val="center"/>
        <w:rPr>
          <w:b/>
          <w:snapToGrid w:val="0"/>
          <w:sz w:val="30"/>
        </w:rPr>
      </w:pPr>
      <w:r>
        <w:rPr>
          <w:rFonts w:hint="eastAsia"/>
          <w:b/>
          <w:snapToGrid w:val="0"/>
          <w:sz w:val="30"/>
        </w:rPr>
        <w:t>采购人（章）：</w:t>
      </w:r>
      <w:r>
        <w:rPr>
          <w:rFonts w:hint="eastAsia"/>
          <w:b/>
          <w:snapToGrid w:val="0"/>
          <w:sz w:val="30"/>
          <w:u w:val="single"/>
          <w:lang w:val="en-US" w:eastAsia="zh-CN"/>
        </w:rPr>
        <w:t>中国药科</w:t>
      </w:r>
      <w:r>
        <w:rPr>
          <w:rFonts w:hint="eastAsia"/>
          <w:b/>
          <w:snapToGrid w:val="0"/>
          <w:sz w:val="30"/>
          <w:u w:val="single"/>
        </w:rPr>
        <w:t>大学</w:t>
      </w:r>
    </w:p>
    <w:p w14:paraId="7228BE5A">
      <w:pPr>
        <w:adjustRightInd w:val="0"/>
        <w:snapToGrid w:val="0"/>
        <w:spacing w:line="300" w:lineRule="auto"/>
        <w:jc w:val="center"/>
        <w:rPr>
          <w:b/>
          <w:snapToGrid w:val="0"/>
          <w:sz w:val="28"/>
        </w:rPr>
      </w:pPr>
      <w:r>
        <w:rPr>
          <w:rFonts w:hint="eastAsia"/>
          <w:b/>
          <w:snapToGrid w:val="0"/>
          <w:sz w:val="30"/>
        </w:rPr>
        <w:t>发放时间：</w:t>
      </w:r>
      <w:r>
        <w:rPr>
          <w:rFonts w:hint="eastAsia"/>
          <w:b/>
          <w:snapToGrid w:val="0"/>
          <w:sz w:val="30"/>
          <w:u w:val="single"/>
        </w:rPr>
        <w:t>202</w:t>
      </w:r>
      <w:r>
        <w:rPr>
          <w:rFonts w:hint="eastAsia"/>
          <w:b/>
          <w:snapToGrid w:val="0"/>
          <w:sz w:val="30"/>
          <w:u w:val="single"/>
          <w:lang w:val="en-US" w:eastAsia="zh-CN"/>
        </w:rPr>
        <w:t>6</w:t>
      </w:r>
      <w:r>
        <w:rPr>
          <w:rFonts w:hint="eastAsia"/>
          <w:b/>
          <w:snapToGrid w:val="0"/>
          <w:sz w:val="30"/>
          <w:u w:val="single"/>
        </w:rPr>
        <w:t>年</w:t>
      </w:r>
      <w:r>
        <w:rPr>
          <w:rFonts w:hint="eastAsia"/>
          <w:b/>
          <w:snapToGrid w:val="0"/>
          <w:sz w:val="30"/>
          <w:u w:val="single"/>
          <w:lang w:val="en-US" w:eastAsia="zh-CN"/>
        </w:rPr>
        <w:t>1</w:t>
      </w:r>
      <w:r>
        <w:rPr>
          <w:rFonts w:hint="eastAsia"/>
          <w:b/>
          <w:snapToGrid w:val="0"/>
          <w:sz w:val="30"/>
          <w:u w:val="single"/>
        </w:rPr>
        <w:t>月</w:t>
      </w:r>
    </w:p>
    <w:p w14:paraId="201B6A40">
      <w:pPr>
        <w:adjustRightInd w:val="0"/>
        <w:snapToGrid w:val="0"/>
        <w:spacing w:line="300" w:lineRule="auto"/>
        <w:rPr>
          <w:b/>
          <w:snapToGrid w:val="0"/>
          <w:sz w:val="24"/>
          <w:szCs w:val="24"/>
        </w:rPr>
      </w:pPr>
    </w:p>
    <w:p w14:paraId="56C7CDEC">
      <w:pPr>
        <w:rPr>
          <w:b/>
          <w:snapToGrid w:val="0"/>
          <w:sz w:val="24"/>
          <w:szCs w:val="24"/>
        </w:rPr>
      </w:pPr>
    </w:p>
    <w:p w14:paraId="4A33CB2C">
      <w:pPr>
        <w:rPr>
          <w:b/>
          <w:snapToGrid w:val="0"/>
          <w:sz w:val="32"/>
          <w:szCs w:val="32"/>
        </w:rPr>
        <w:sectPr>
          <w:headerReference r:id="rId4" w:type="first"/>
          <w:footerReference r:id="rId7" w:type="first"/>
          <w:headerReference r:id="rId3" w:type="default"/>
          <w:footerReference r:id="rId5" w:type="default"/>
          <w:footerReference r:id="rId6" w:type="even"/>
          <w:pgSz w:w="11907" w:h="16840"/>
          <w:pgMar w:top="1440" w:right="1800" w:bottom="1440" w:left="1800" w:header="567" w:footer="1009" w:gutter="0"/>
          <w:pgNumType w:fmt="numberInDash" w:start="0"/>
          <w:cols w:space="720" w:num="1"/>
          <w:titlePg/>
          <w:docGrid w:linePitch="272" w:charSpace="0"/>
        </w:sectPr>
      </w:pPr>
    </w:p>
    <w:p w14:paraId="40063B2A">
      <w:pPr>
        <w:spacing w:before="156" w:beforeLines="50" w:after="156" w:afterLines="50" w:line="400" w:lineRule="exact"/>
        <w:ind w:right="119"/>
        <w:jc w:val="center"/>
        <w:rPr>
          <w:b/>
          <w:snapToGrid w:val="0"/>
          <w:sz w:val="30"/>
          <w:szCs w:val="30"/>
        </w:rPr>
      </w:pPr>
      <w:r>
        <w:rPr>
          <w:rFonts w:hint="eastAsia"/>
          <w:b/>
          <w:snapToGrid w:val="0"/>
          <w:sz w:val="30"/>
          <w:szCs w:val="30"/>
        </w:rPr>
        <w:t xml:space="preserve">第一章  </w:t>
      </w:r>
      <w:r>
        <w:rPr>
          <w:rFonts w:hint="eastAsia"/>
          <w:b/>
          <w:snapToGrid w:val="0"/>
          <w:sz w:val="30"/>
          <w:szCs w:val="30"/>
          <w:lang w:val="en-US" w:eastAsia="zh-CN"/>
        </w:rPr>
        <w:t>询</w:t>
      </w:r>
      <w:r>
        <w:rPr>
          <w:rFonts w:hint="eastAsia"/>
          <w:b/>
          <w:snapToGrid w:val="0"/>
          <w:sz w:val="30"/>
          <w:szCs w:val="30"/>
        </w:rPr>
        <w:t>价通知书</w:t>
      </w:r>
      <w:bookmarkStart w:id="1" w:name="_Toc111371835"/>
    </w:p>
    <w:p w14:paraId="4A188E7A">
      <w:pPr>
        <w:adjustRightInd w:val="0"/>
        <w:snapToGrid w:val="0"/>
        <w:spacing w:line="520" w:lineRule="exact"/>
        <w:ind w:firstLine="480" w:firstLineChars="200"/>
        <w:rPr>
          <w:rFonts w:cs="宋体" w:eastAsiaTheme="minorEastAsia"/>
          <w:sz w:val="24"/>
          <w:szCs w:val="24"/>
        </w:rPr>
      </w:pPr>
      <w:r>
        <w:rPr>
          <w:rFonts w:hint="eastAsia" w:cs="宋体" w:eastAsiaTheme="minorEastAsia"/>
          <w:sz w:val="24"/>
          <w:szCs w:val="24"/>
          <w:lang w:eastAsia="zh-CN"/>
        </w:rPr>
        <w:t>中国药科大学</w:t>
      </w:r>
      <w:r>
        <w:rPr>
          <w:rFonts w:hint="eastAsia" w:cs="宋体" w:eastAsiaTheme="minorEastAsia"/>
          <w:sz w:val="24"/>
          <w:szCs w:val="24"/>
        </w:rPr>
        <w:t>拟</w:t>
      </w:r>
      <w:r>
        <w:rPr>
          <w:rFonts w:hint="eastAsia" w:cs="宋体" w:eastAsiaTheme="minorEastAsia"/>
          <w:sz w:val="24"/>
          <w:szCs w:val="24"/>
          <w:lang w:eastAsia="zh-CN"/>
        </w:rPr>
        <w:t>询价</w:t>
      </w:r>
      <w:r>
        <w:rPr>
          <w:rFonts w:hint="eastAsia" w:cs="宋体" w:eastAsiaTheme="minorEastAsia"/>
          <w:sz w:val="24"/>
          <w:szCs w:val="24"/>
        </w:rPr>
        <w:t>采购</w:t>
      </w:r>
      <w:r>
        <w:rPr>
          <w:rFonts w:hint="eastAsia" w:cs="宋体" w:eastAsiaTheme="minorEastAsia"/>
          <w:b/>
          <w:sz w:val="24"/>
          <w:szCs w:val="24"/>
          <w:u w:val="single"/>
        </w:rPr>
        <w:t>中国药科大学水环境治理项目工程勘测</w:t>
      </w:r>
      <w:r>
        <w:rPr>
          <w:rFonts w:hint="eastAsia" w:cs="宋体" w:eastAsiaTheme="minorEastAsia"/>
          <w:sz w:val="24"/>
          <w:szCs w:val="24"/>
        </w:rPr>
        <w:t>服务供应商，工作内容及报价说明见“第二章”，资格要求见“第三章”，</w:t>
      </w:r>
      <w:r>
        <w:rPr>
          <w:rFonts w:hint="eastAsia" w:cs="宋体" w:eastAsiaTheme="minorEastAsia"/>
          <w:sz w:val="24"/>
          <w:szCs w:val="24"/>
          <w:lang w:val="en-US" w:eastAsia="zh-CN"/>
        </w:rPr>
        <w:t>询价</w:t>
      </w:r>
      <w:r>
        <w:rPr>
          <w:rFonts w:hint="eastAsia" w:cs="宋体" w:eastAsiaTheme="minorEastAsia"/>
          <w:sz w:val="24"/>
          <w:szCs w:val="24"/>
        </w:rPr>
        <w:t>方法见“第四章”，服务合同见“第五章”，</w:t>
      </w:r>
      <w:r>
        <w:rPr>
          <w:rFonts w:hint="eastAsia" w:cs="宋体" w:eastAsiaTheme="minorEastAsia"/>
          <w:sz w:val="24"/>
          <w:szCs w:val="24"/>
          <w:lang w:val="en-US" w:eastAsia="zh-CN"/>
        </w:rPr>
        <w:t>询价</w:t>
      </w:r>
      <w:r>
        <w:rPr>
          <w:rFonts w:hint="eastAsia" w:cs="宋体" w:eastAsiaTheme="minorEastAsia"/>
          <w:sz w:val="24"/>
          <w:szCs w:val="24"/>
        </w:rPr>
        <w:t>文件格式见“第六章”。</w:t>
      </w:r>
    </w:p>
    <w:p w14:paraId="2B1EBE74">
      <w:pPr>
        <w:adjustRightInd w:val="0"/>
        <w:snapToGrid w:val="0"/>
        <w:spacing w:line="520" w:lineRule="exact"/>
        <w:ind w:firstLine="480" w:firstLineChars="200"/>
        <w:rPr>
          <w:rFonts w:cs="宋体" w:eastAsiaTheme="minorEastAsia"/>
          <w:sz w:val="24"/>
          <w:szCs w:val="24"/>
        </w:rPr>
      </w:pPr>
      <w:r>
        <w:rPr>
          <w:rFonts w:hint="eastAsia" w:cs="宋体" w:eastAsiaTheme="minorEastAsia"/>
          <w:sz w:val="24"/>
          <w:szCs w:val="24"/>
        </w:rPr>
        <w:t>特请贵公司按以下要求报价，谢谢支持。</w:t>
      </w:r>
    </w:p>
    <w:p w14:paraId="557D43B4">
      <w:pPr>
        <w:adjustRightInd w:val="0"/>
        <w:snapToGrid w:val="0"/>
        <w:spacing w:line="520" w:lineRule="exact"/>
        <w:ind w:firstLine="480" w:firstLineChars="200"/>
        <w:rPr>
          <w:rFonts w:cs="宋体" w:eastAsiaTheme="minorEastAsia"/>
          <w:sz w:val="24"/>
          <w:szCs w:val="24"/>
        </w:rPr>
      </w:pPr>
      <w:r>
        <w:rPr>
          <w:rFonts w:hint="eastAsia" w:cs="宋体" w:eastAsiaTheme="minorEastAsia"/>
          <w:sz w:val="24"/>
          <w:szCs w:val="24"/>
        </w:rPr>
        <w:t>1、按“第二章”工作内容进行报价。供应商根据本</w:t>
      </w:r>
      <w:r>
        <w:rPr>
          <w:rFonts w:hint="eastAsia" w:cs="宋体" w:eastAsiaTheme="minorEastAsia"/>
          <w:sz w:val="24"/>
          <w:szCs w:val="24"/>
          <w:lang w:eastAsia="zh-CN"/>
        </w:rPr>
        <w:t>询价</w:t>
      </w:r>
      <w:r>
        <w:rPr>
          <w:rFonts w:hint="eastAsia" w:cs="宋体" w:eastAsiaTheme="minorEastAsia"/>
          <w:sz w:val="24"/>
          <w:szCs w:val="24"/>
        </w:rPr>
        <w:t>文</w:t>
      </w:r>
      <w:r>
        <w:rPr>
          <w:rFonts w:hint="eastAsia" w:cs="宋体" w:eastAsiaTheme="minorEastAsia"/>
          <w:color w:val="000000" w:themeColor="text1"/>
          <w:sz w:val="24"/>
          <w:szCs w:val="24"/>
          <w14:textFill>
            <w14:solidFill>
              <w14:schemeClr w14:val="tx1"/>
            </w14:solidFill>
          </w14:textFill>
        </w:rPr>
        <w:t>件要求以</w:t>
      </w:r>
      <w:r>
        <w:rPr>
          <w:rFonts w:hint="eastAsia" w:cs="宋体" w:eastAsiaTheme="minorEastAsia"/>
          <w:color w:val="000000" w:themeColor="text1"/>
          <w:sz w:val="24"/>
          <w:szCs w:val="24"/>
          <w:lang w:val="en-US" w:eastAsia="zh-CN"/>
          <w14:textFill>
            <w14:solidFill>
              <w14:schemeClr w14:val="tx1"/>
            </w14:solidFill>
          </w14:textFill>
        </w:rPr>
        <w:t>邮件形式</w:t>
      </w:r>
      <w:r>
        <w:rPr>
          <w:rFonts w:hint="eastAsia" w:cs="宋体" w:eastAsiaTheme="minorEastAsia"/>
          <w:color w:val="000000" w:themeColor="text1"/>
          <w:sz w:val="24"/>
          <w:szCs w:val="24"/>
          <w14:textFill>
            <w14:solidFill>
              <w14:schemeClr w14:val="tx1"/>
            </w14:solidFill>
          </w14:textFill>
        </w:rPr>
        <w:t>发送响应文件扫描电子件（盖公章）至邮箱:</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 xml:space="preserve"> qiantj@cpu.edu.cn</w:t>
      </w:r>
      <w:r>
        <w:rPr>
          <w:rFonts w:hint="eastAsia" w:cs="宋体" w:eastAsiaTheme="minorEastAsia"/>
          <w:color w:val="000000" w:themeColor="text1"/>
          <w:sz w:val="24"/>
          <w:szCs w:val="24"/>
          <w:u w:val="single"/>
          <w:lang w:val="en-US" w:eastAsia="zh-CN"/>
          <w14:textFill>
            <w14:solidFill>
              <w14:schemeClr w14:val="tx1"/>
            </w14:solidFill>
          </w14:textFill>
        </w:rPr>
        <w:t xml:space="preserve"> </w:t>
      </w:r>
      <w:r>
        <w:rPr>
          <w:rFonts w:hint="eastAsia" w:cs="宋体" w:eastAsiaTheme="minorEastAsia"/>
          <w:color w:val="000000" w:themeColor="text1"/>
          <w:sz w:val="24"/>
          <w:szCs w:val="24"/>
          <w14:textFill>
            <w14:solidFill>
              <w14:schemeClr w14:val="tx1"/>
            </w14:solidFill>
          </w14:textFill>
        </w:rPr>
        <w:t>。</w:t>
      </w:r>
    </w:p>
    <w:p w14:paraId="7271BBE3">
      <w:pPr>
        <w:adjustRightInd w:val="0"/>
        <w:snapToGrid w:val="0"/>
        <w:spacing w:line="520" w:lineRule="exact"/>
        <w:ind w:firstLine="480" w:firstLineChars="200"/>
        <w:rPr>
          <w:rFonts w:cs="宋体" w:eastAsiaTheme="minorEastAsia"/>
          <w:color w:val="000000" w:themeColor="text1"/>
          <w:sz w:val="24"/>
          <w:szCs w:val="24"/>
          <w14:textFill>
            <w14:solidFill>
              <w14:schemeClr w14:val="tx1"/>
            </w14:solidFill>
          </w14:textFill>
        </w:rPr>
      </w:pPr>
      <w:r>
        <w:rPr>
          <w:rFonts w:hint="eastAsia" w:cs="宋体" w:eastAsiaTheme="minorEastAsia"/>
          <w:color w:val="000000" w:themeColor="text1"/>
          <w:sz w:val="24"/>
          <w:szCs w:val="24"/>
          <w:lang w:val="en-US" w:eastAsia="zh-CN"/>
          <w14:textFill>
            <w14:solidFill>
              <w14:schemeClr w14:val="tx1"/>
            </w14:solidFill>
          </w14:textFill>
        </w:rPr>
        <w:t>2</w:t>
      </w:r>
      <w:r>
        <w:rPr>
          <w:rFonts w:hint="eastAsia" w:cs="宋体" w:eastAsiaTheme="minorEastAsia"/>
          <w:color w:val="000000" w:themeColor="text1"/>
          <w:sz w:val="24"/>
          <w:szCs w:val="24"/>
          <w14:textFill>
            <w14:solidFill>
              <w14:schemeClr w14:val="tx1"/>
            </w14:solidFill>
          </w14:textFill>
        </w:rPr>
        <w:t>、</w:t>
      </w:r>
      <w:r>
        <w:rPr>
          <w:rFonts w:hint="eastAsia" w:cs="宋体" w:eastAsiaTheme="minorEastAsia"/>
          <w:color w:val="000000" w:themeColor="text1"/>
          <w:sz w:val="24"/>
          <w:szCs w:val="24"/>
          <w:lang w:eastAsia="zh-CN"/>
          <w14:textFill>
            <w14:solidFill>
              <w14:schemeClr w14:val="tx1"/>
            </w14:solidFill>
          </w14:textFill>
        </w:rPr>
        <w:t>询价</w:t>
      </w:r>
      <w:r>
        <w:rPr>
          <w:rFonts w:hint="eastAsia" w:cs="宋体" w:eastAsiaTheme="minorEastAsia"/>
          <w:color w:val="000000" w:themeColor="text1"/>
          <w:sz w:val="24"/>
          <w:szCs w:val="24"/>
          <w14:textFill>
            <w14:solidFill>
              <w14:schemeClr w14:val="tx1"/>
            </w14:solidFill>
          </w14:textFill>
        </w:rPr>
        <w:t>响应文件（</w:t>
      </w:r>
      <w:r>
        <w:rPr>
          <w:rFonts w:hint="eastAsia" w:cs="宋体" w:eastAsiaTheme="minorEastAsia"/>
          <w:color w:val="000000" w:themeColor="text1"/>
          <w:sz w:val="24"/>
          <w:szCs w:val="24"/>
          <w:lang w:eastAsia="zh-CN"/>
          <w14:textFill>
            <w14:solidFill>
              <w14:schemeClr w14:val="tx1"/>
            </w14:solidFill>
          </w14:textFill>
        </w:rPr>
        <w:t>询价</w:t>
      </w:r>
      <w:r>
        <w:rPr>
          <w:rFonts w:hint="eastAsia" w:cs="宋体" w:eastAsiaTheme="minorEastAsia"/>
          <w:color w:val="000000" w:themeColor="text1"/>
          <w:sz w:val="24"/>
          <w:szCs w:val="24"/>
          <w14:textFill>
            <w14:solidFill>
              <w14:schemeClr w14:val="tx1"/>
            </w14:solidFill>
          </w14:textFill>
        </w:rPr>
        <w:t>书）要求在以</w:t>
      </w:r>
      <w:r>
        <w:rPr>
          <w:rFonts w:hint="eastAsia" w:cs="宋体" w:eastAsiaTheme="minorEastAsia"/>
          <w:color w:val="000000" w:themeColor="text1"/>
          <w:sz w:val="24"/>
          <w:szCs w:val="24"/>
          <w:lang w:val="en-US" w:eastAsia="zh-CN"/>
          <w14:textFill>
            <w14:solidFill>
              <w14:schemeClr w14:val="tx1"/>
            </w14:solidFill>
          </w14:textFill>
        </w:rPr>
        <w:t>邮件</w:t>
      </w:r>
      <w:r>
        <w:rPr>
          <w:rFonts w:hint="eastAsia" w:cs="宋体" w:eastAsiaTheme="minorEastAsia"/>
          <w:color w:val="000000" w:themeColor="text1"/>
          <w:sz w:val="24"/>
          <w:szCs w:val="24"/>
          <w14:textFill>
            <w14:solidFill>
              <w14:schemeClr w14:val="tx1"/>
            </w14:solidFill>
          </w14:textFill>
        </w:rPr>
        <w:t>方式递交，过期无效。</w:t>
      </w:r>
    </w:p>
    <w:p w14:paraId="1041E296">
      <w:pPr>
        <w:adjustRightInd w:val="0"/>
        <w:snapToGrid w:val="0"/>
        <w:spacing w:line="520" w:lineRule="exact"/>
        <w:ind w:firstLine="482" w:firstLineChars="200"/>
        <w:rPr>
          <w:rFonts w:cs="宋体" w:eastAsiaTheme="minorEastAsia"/>
          <w:b/>
          <w:color w:val="000000" w:themeColor="text1"/>
          <w:sz w:val="24"/>
          <w:szCs w:val="24"/>
          <w14:textFill>
            <w14:solidFill>
              <w14:schemeClr w14:val="tx1"/>
            </w14:solidFill>
          </w14:textFill>
        </w:rPr>
      </w:pPr>
      <w:r>
        <w:rPr>
          <w:rFonts w:hint="eastAsia" w:cs="宋体" w:eastAsiaTheme="minorEastAsia"/>
          <w:b/>
          <w:color w:val="000000" w:themeColor="text1"/>
          <w:sz w:val="24"/>
          <w:szCs w:val="24"/>
          <w:lang w:val="en-US" w:eastAsia="zh-CN"/>
          <w14:textFill>
            <w14:solidFill>
              <w14:schemeClr w14:val="tx1"/>
            </w14:solidFill>
          </w14:textFill>
        </w:rPr>
        <w:t>3、</w:t>
      </w:r>
      <w:r>
        <w:rPr>
          <w:rFonts w:hint="eastAsia" w:cs="宋体" w:eastAsiaTheme="minorEastAsia"/>
          <w:b/>
          <w:color w:val="000000" w:themeColor="text1"/>
          <w:sz w:val="24"/>
          <w:szCs w:val="24"/>
          <w14:textFill>
            <w14:solidFill>
              <w14:schemeClr w14:val="tx1"/>
            </w14:solidFill>
          </w14:textFill>
        </w:rPr>
        <w:t>截止时间：202</w:t>
      </w:r>
      <w:r>
        <w:rPr>
          <w:rFonts w:hint="eastAsia" w:cs="宋体" w:eastAsiaTheme="minorEastAsia"/>
          <w:b/>
          <w:color w:val="000000" w:themeColor="text1"/>
          <w:sz w:val="24"/>
          <w:szCs w:val="24"/>
          <w:lang w:val="en-US" w:eastAsia="zh-CN"/>
          <w14:textFill>
            <w14:solidFill>
              <w14:schemeClr w14:val="tx1"/>
            </w14:solidFill>
          </w14:textFill>
        </w:rPr>
        <w:t>6</w:t>
      </w:r>
      <w:r>
        <w:rPr>
          <w:rFonts w:hint="eastAsia" w:cs="宋体" w:eastAsiaTheme="minorEastAsia"/>
          <w:b/>
          <w:color w:val="000000" w:themeColor="text1"/>
          <w:sz w:val="24"/>
          <w:szCs w:val="24"/>
          <w14:textFill>
            <w14:solidFill>
              <w14:schemeClr w14:val="tx1"/>
            </w14:solidFill>
          </w14:textFill>
        </w:rPr>
        <w:t>年</w:t>
      </w:r>
      <w:r>
        <w:rPr>
          <w:rFonts w:hint="eastAsia" w:cs="宋体" w:eastAsiaTheme="minorEastAsia"/>
          <w:b/>
          <w:color w:val="000000" w:themeColor="text1"/>
          <w:sz w:val="24"/>
          <w:szCs w:val="24"/>
          <w:lang w:val="en-US" w:eastAsia="zh-CN"/>
          <w14:textFill>
            <w14:solidFill>
              <w14:schemeClr w14:val="tx1"/>
            </w14:solidFill>
          </w14:textFill>
        </w:rPr>
        <w:t>1</w:t>
      </w:r>
      <w:r>
        <w:rPr>
          <w:rFonts w:hint="eastAsia" w:cs="宋体" w:eastAsiaTheme="minorEastAsia"/>
          <w:b/>
          <w:color w:val="000000" w:themeColor="text1"/>
          <w:sz w:val="24"/>
          <w:szCs w:val="24"/>
          <w14:textFill>
            <w14:solidFill>
              <w14:schemeClr w14:val="tx1"/>
            </w14:solidFill>
          </w14:textFill>
        </w:rPr>
        <w:t>月</w:t>
      </w:r>
      <w:r>
        <w:rPr>
          <w:rFonts w:hint="eastAsia" w:cs="宋体" w:eastAsiaTheme="minorEastAsia"/>
          <w:b/>
          <w:color w:val="000000" w:themeColor="text1"/>
          <w:sz w:val="24"/>
          <w:szCs w:val="24"/>
          <w:u w:val="single"/>
          <w:lang w:val="en-US" w:eastAsia="zh-CN"/>
          <w14:textFill>
            <w14:solidFill>
              <w14:schemeClr w14:val="tx1"/>
            </w14:solidFill>
          </w14:textFill>
        </w:rPr>
        <w:t xml:space="preserve">   12   </w:t>
      </w:r>
      <w:r>
        <w:rPr>
          <w:rFonts w:hint="eastAsia" w:cs="宋体" w:eastAsiaTheme="minorEastAsia"/>
          <w:b/>
          <w:color w:val="000000" w:themeColor="text1"/>
          <w:sz w:val="24"/>
          <w:szCs w:val="24"/>
          <w14:textFill>
            <w14:solidFill>
              <w14:schemeClr w14:val="tx1"/>
            </w14:solidFill>
          </w14:textFill>
        </w:rPr>
        <w:t>日</w:t>
      </w:r>
      <w:r>
        <w:rPr>
          <w:rFonts w:hint="eastAsia" w:cs="宋体" w:eastAsiaTheme="minorEastAsia"/>
          <w:b/>
          <w:color w:val="000000" w:themeColor="text1"/>
          <w:sz w:val="24"/>
          <w:szCs w:val="24"/>
          <w:u w:val="single"/>
          <w:lang w:val="en-US" w:eastAsia="zh-CN"/>
          <w14:textFill>
            <w14:solidFill>
              <w14:schemeClr w14:val="tx1"/>
            </w14:solidFill>
          </w14:textFill>
        </w:rPr>
        <w:t xml:space="preserve">   14:00   </w:t>
      </w:r>
      <w:r>
        <w:rPr>
          <w:rFonts w:hint="eastAsia" w:cs="宋体" w:eastAsiaTheme="minorEastAsia"/>
          <w:b/>
          <w:color w:val="000000" w:themeColor="text1"/>
          <w:sz w:val="24"/>
          <w:szCs w:val="24"/>
          <w14:textFill>
            <w14:solidFill>
              <w14:schemeClr w14:val="tx1"/>
            </w14:solidFill>
          </w14:textFill>
        </w:rPr>
        <w:t>前</w:t>
      </w:r>
    </w:p>
    <w:p w14:paraId="0614919B">
      <w:pPr>
        <w:adjustRightInd w:val="0"/>
        <w:snapToGrid w:val="0"/>
        <w:spacing w:line="520" w:lineRule="exact"/>
        <w:ind w:firstLine="480" w:firstLineChars="200"/>
        <w:rPr>
          <w:rFonts w:cs="宋体" w:eastAsiaTheme="minorEastAsia"/>
          <w:color w:val="000000" w:themeColor="text1"/>
          <w:sz w:val="24"/>
          <w:szCs w:val="24"/>
          <w14:textFill>
            <w14:solidFill>
              <w14:schemeClr w14:val="tx1"/>
            </w14:solidFill>
          </w14:textFill>
        </w:rPr>
      </w:pPr>
      <w:r>
        <w:rPr>
          <w:rFonts w:hint="eastAsia" w:cs="宋体" w:eastAsiaTheme="minorEastAsia"/>
          <w:color w:val="000000" w:themeColor="text1"/>
          <w:sz w:val="24"/>
          <w:szCs w:val="24"/>
          <w14:textFill>
            <w14:solidFill>
              <w14:schemeClr w14:val="tx1"/>
            </w14:solidFill>
          </w14:textFill>
        </w:rPr>
        <w:t>4、工期要求</w:t>
      </w:r>
      <w:r>
        <w:rPr>
          <w:rFonts w:hint="eastAsia" w:cs="宋体" w:eastAsiaTheme="minorEastAsia"/>
          <w:b/>
          <w:color w:val="000000" w:themeColor="text1"/>
          <w:sz w:val="24"/>
          <w:szCs w:val="24"/>
          <w14:textFill>
            <w14:solidFill>
              <w14:schemeClr w14:val="tx1"/>
            </w14:solidFill>
          </w14:textFill>
        </w:rPr>
        <w:t>：</w:t>
      </w:r>
      <w:r>
        <w:rPr>
          <w:rFonts w:hint="eastAsia" w:cs="宋体" w:eastAsiaTheme="minorEastAsia"/>
          <w:b/>
          <w:color w:val="000000" w:themeColor="text1"/>
          <w:sz w:val="24"/>
          <w:szCs w:val="24"/>
          <w:lang w:val="en-US" w:eastAsia="zh-CN"/>
          <w14:textFill>
            <w14:solidFill>
              <w14:schemeClr w14:val="tx1"/>
            </w14:solidFill>
          </w14:textFill>
        </w:rPr>
        <w:t>接甲方通知后</w:t>
      </w:r>
      <w:bookmarkStart w:id="193" w:name="_GoBack"/>
      <w:bookmarkEnd w:id="193"/>
      <w:r>
        <w:rPr>
          <w:rFonts w:hint="eastAsia" w:cs="宋体" w:eastAsiaTheme="minorEastAsia"/>
          <w:b/>
          <w:color w:val="000000" w:themeColor="text1"/>
          <w:sz w:val="24"/>
          <w:szCs w:val="24"/>
          <w14:textFill>
            <w14:solidFill>
              <w14:schemeClr w14:val="tx1"/>
            </w14:solidFill>
          </w14:textFill>
        </w:rPr>
        <w:t>服务期限</w:t>
      </w:r>
      <w:r>
        <w:rPr>
          <w:rFonts w:cs="宋体" w:eastAsiaTheme="minorEastAsia"/>
          <w:b/>
          <w:color w:val="000000" w:themeColor="text1"/>
          <w:sz w:val="24"/>
          <w:szCs w:val="24"/>
          <w:u w:val="single"/>
          <w14:textFill>
            <w14:solidFill>
              <w14:schemeClr w14:val="tx1"/>
            </w14:solidFill>
          </w14:textFill>
        </w:rPr>
        <w:t xml:space="preserve"> </w:t>
      </w:r>
      <w:r>
        <w:rPr>
          <w:rFonts w:hint="eastAsia" w:cs="宋体" w:eastAsiaTheme="minorEastAsia"/>
          <w:b/>
          <w:color w:val="000000" w:themeColor="text1"/>
          <w:sz w:val="24"/>
          <w:szCs w:val="24"/>
          <w:u w:val="single"/>
          <w:lang w:val="en-US" w:eastAsia="zh-CN"/>
          <w14:textFill>
            <w14:solidFill>
              <w14:schemeClr w14:val="tx1"/>
            </w14:solidFill>
          </w14:textFill>
        </w:rPr>
        <w:t xml:space="preserve"> 15</w:t>
      </w:r>
      <w:r>
        <w:rPr>
          <w:rFonts w:cs="宋体" w:eastAsiaTheme="minorEastAsia"/>
          <w:b/>
          <w:color w:val="000000" w:themeColor="text1"/>
          <w:sz w:val="24"/>
          <w:szCs w:val="24"/>
          <w:u w:val="single"/>
          <w14:textFill>
            <w14:solidFill>
              <w14:schemeClr w14:val="tx1"/>
            </w14:solidFill>
          </w14:textFill>
        </w:rPr>
        <w:t xml:space="preserve"> </w:t>
      </w:r>
      <w:r>
        <w:rPr>
          <w:rFonts w:hint="eastAsia" w:cs="宋体" w:eastAsiaTheme="minorEastAsia"/>
          <w:b/>
          <w:color w:val="000000" w:themeColor="text1"/>
          <w:sz w:val="24"/>
          <w:szCs w:val="24"/>
          <w14:textFill>
            <w14:solidFill>
              <w14:schemeClr w14:val="tx1"/>
            </w14:solidFill>
          </w14:textFill>
        </w:rPr>
        <w:t>天</w:t>
      </w:r>
      <w:r>
        <w:rPr>
          <w:rFonts w:hint="eastAsia" w:cs="宋体" w:eastAsiaTheme="minorEastAsia"/>
          <w:color w:val="000000" w:themeColor="text1"/>
          <w:sz w:val="24"/>
          <w:szCs w:val="24"/>
          <w14:textFill>
            <w14:solidFill>
              <w14:schemeClr w14:val="tx1"/>
            </w14:solidFill>
          </w14:textFill>
        </w:rPr>
        <w:t>。</w:t>
      </w:r>
    </w:p>
    <w:p w14:paraId="5E228A60">
      <w:pPr>
        <w:adjustRightInd w:val="0"/>
        <w:snapToGrid w:val="0"/>
        <w:spacing w:line="520" w:lineRule="exact"/>
        <w:ind w:firstLine="480" w:firstLineChars="200"/>
        <w:rPr>
          <w:rFonts w:cs="宋体" w:eastAsiaTheme="minorEastAsia"/>
          <w:sz w:val="24"/>
          <w:szCs w:val="24"/>
        </w:rPr>
      </w:pPr>
      <w:r>
        <w:rPr>
          <w:rFonts w:hint="eastAsia" w:cs="宋体" w:eastAsiaTheme="minorEastAsia"/>
          <w:sz w:val="24"/>
          <w:szCs w:val="24"/>
        </w:rPr>
        <w:t>5、合同类型：</w:t>
      </w:r>
      <w:r>
        <w:rPr>
          <w:rFonts w:hint="eastAsia" w:cs="宋体" w:eastAsiaTheme="minorEastAsia"/>
          <w:b/>
          <w:sz w:val="24"/>
          <w:szCs w:val="24"/>
        </w:rPr>
        <w:t>固定</w:t>
      </w:r>
      <w:r>
        <w:rPr>
          <w:rFonts w:hint="eastAsia" w:cs="宋体" w:eastAsiaTheme="minorEastAsia"/>
          <w:b/>
          <w:sz w:val="24"/>
          <w:szCs w:val="24"/>
          <w:lang w:val="en-US" w:eastAsia="zh-CN"/>
        </w:rPr>
        <w:t>总价</w:t>
      </w:r>
      <w:r>
        <w:rPr>
          <w:rFonts w:hint="eastAsia" w:cs="宋体" w:eastAsiaTheme="minorEastAsia"/>
          <w:b/>
          <w:sz w:val="24"/>
          <w:szCs w:val="24"/>
        </w:rPr>
        <w:t>合同</w:t>
      </w:r>
      <w:r>
        <w:rPr>
          <w:rFonts w:hint="eastAsia" w:cs="宋体" w:eastAsiaTheme="minorEastAsia"/>
          <w:sz w:val="24"/>
          <w:szCs w:val="24"/>
        </w:rPr>
        <w:t>。</w:t>
      </w:r>
    </w:p>
    <w:p w14:paraId="6E235F03">
      <w:pPr>
        <w:adjustRightInd w:val="0"/>
        <w:snapToGrid w:val="0"/>
        <w:spacing w:line="520" w:lineRule="exact"/>
        <w:ind w:firstLine="480" w:firstLineChars="200"/>
        <w:rPr>
          <w:rFonts w:cs="宋体" w:eastAsiaTheme="minorEastAsia"/>
          <w:sz w:val="24"/>
          <w:szCs w:val="24"/>
        </w:rPr>
      </w:pPr>
      <w:r>
        <w:rPr>
          <w:rFonts w:hint="eastAsia" w:cs="宋体" w:eastAsiaTheme="minorEastAsia"/>
          <w:sz w:val="24"/>
          <w:szCs w:val="24"/>
        </w:rPr>
        <w:t>6、</w:t>
      </w:r>
      <w:r>
        <w:rPr>
          <w:rFonts w:hint="eastAsia" w:cs="宋体" w:eastAsiaTheme="minorEastAsia"/>
          <w:b/>
          <w:sz w:val="24"/>
          <w:szCs w:val="24"/>
        </w:rPr>
        <w:t>最高限价</w:t>
      </w:r>
      <w:r>
        <w:rPr>
          <w:rFonts w:hint="eastAsia" w:cs="宋体" w:eastAsiaTheme="minorEastAsia"/>
          <w:b/>
          <w:sz w:val="24"/>
          <w:szCs w:val="24"/>
          <w:lang w:eastAsia="zh-CN"/>
        </w:rPr>
        <w:t>：</w:t>
      </w:r>
      <w:r>
        <w:rPr>
          <w:rFonts w:hint="eastAsia" w:cs="宋体" w:eastAsiaTheme="minorEastAsia"/>
          <w:b/>
          <w:sz w:val="24"/>
          <w:szCs w:val="24"/>
          <w:lang w:val="en-US" w:eastAsia="zh-CN"/>
        </w:rPr>
        <w:t>9.85</w:t>
      </w:r>
      <w:r>
        <w:rPr>
          <w:rFonts w:hint="eastAsia" w:cs="宋体" w:eastAsiaTheme="minorEastAsia"/>
          <w:b/>
          <w:sz w:val="24"/>
          <w:szCs w:val="24"/>
        </w:rPr>
        <w:t xml:space="preserve"> 万元</w:t>
      </w:r>
      <w:r>
        <w:rPr>
          <w:rFonts w:hint="eastAsia" w:cs="宋体" w:eastAsiaTheme="minorEastAsia"/>
          <w:sz w:val="24"/>
          <w:szCs w:val="24"/>
        </w:rPr>
        <w:t xml:space="preserve">。 </w:t>
      </w:r>
    </w:p>
    <w:p w14:paraId="5E00E3A2">
      <w:pPr>
        <w:adjustRightInd w:val="0"/>
        <w:snapToGrid w:val="0"/>
        <w:spacing w:line="520" w:lineRule="exact"/>
        <w:ind w:firstLine="720" w:firstLineChars="300"/>
        <w:rPr>
          <w:rFonts w:hint="default" w:cs="宋体" w:eastAsiaTheme="minorEastAsia"/>
          <w:color w:val="000000" w:themeColor="text1"/>
          <w:sz w:val="24"/>
          <w:szCs w:val="24"/>
          <w:lang w:val="en-US" w:eastAsia="zh-CN"/>
          <w14:textFill>
            <w14:solidFill>
              <w14:schemeClr w14:val="tx1"/>
            </w14:solidFill>
          </w14:textFill>
        </w:rPr>
      </w:pPr>
      <w:r>
        <w:rPr>
          <w:rFonts w:hint="eastAsia" w:cs="宋体" w:eastAsiaTheme="minorEastAsia"/>
          <w:color w:val="000000" w:themeColor="text1"/>
          <w:sz w:val="24"/>
          <w:szCs w:val="24"/>
          <w14:textFill>
            <w14:solidFill>
              <w14:schemeClr w14:val="tx1"/>
            </w14:solidFill>
          </w14:textFill>
        </w:rPr>
        <w:t>联系人：</w:t>
      </w:r>
      <w:r>
        <w:rPr>
          <w:rFonts w:hint="eastAsia" w:cs="宋体" w:eastAsiaTheme="minorEastAsia"/>
          <w:color w:val="000000" w:themeColor="text1"/>
          <w:sz w:val="24"/>
          <w:szCs w:val="24"/>
          <w:u w:val="none"/>
          <w:lang w:val="en-US" w:eastAsia="zh-CN"/>
          <w14:textFill>
            <w14:solidFill>
              <w14:schemeClr w14:val="tx1"/>
            </w14:solidFill>
          </w14:textFill>
        </w:rPr>
        <w:t xml:space="preserve">   钱老师</w:t>
      </w:r>
      <w:r>
        <w:rPr>
          <w:rFonts w:hint="eastAsia" w:cs="宋体" w:eastAsiaTheme="minorEastAsia"/>
          <w:color w:val="000000" w:themeColor="text1"/>
          <w:sz w:val="24"/>
          <w:szCs w:val="24"/>
          <w:u w:val="single"/>
          <w:lang w:val="en-US" w:eastAsia="zh-CN"/>
          <w14:textFill>
            <w14:solidFill>
              <w14:schemeClr w14:val="tx1"/>
            </w14:solidFill>
          </w14:textFill>
        </w:rPr>
        <w:t xml:space="preserve">   </w:t>
      </w:r>
    </w:p>
    <w:p w14:paraId="6329AD45">
      <w:pPr>
        <w:adjustRightInd w:val="0"/>
        <w:snapToGrid w:val="0"/>
        <w:spacing w:line="520" w:lineRule="exact"/>
        <w:ind w:firstLine="720" w:firstLineChars="300"/>
        <w:rPr>
          <w:rFonts w:hint="default" w:cs="宋体" w:eastAsiaTheme="minorEastAsia"/>
          <w:color w:val="000000" w:themeColor="text1"/>
          <w:sz w:val="24"/>
          <w:szCs w:val="24"/>
          <w:lang w:val="en-US" w:eastAsia="zh-CN"/>
          <w14:textFill>
            <w14:solidFill>
              <w14:schemeClr w14:val="tx1"/>
            </w14:solidFill>
          </w14:textFill>
        </w:rPr>
      </w:pPr>
      <w:r>
        <w:rPr>
          <w:rFonts w:hint="eastAsia" w:cs="宋体" w:eastAsiaTheme="minorEastAsia"/>
          <w:color w:val="000000" w:themeColor="text1"/>
          <w:sz w:val="24"/>
          <w:szCs w:val="24"/>
          <w14:textFill>
            <w14:solidFill>
              <w14:schemeClr w14:val="tx1"/>
            </w14:solidFill>
          </w14:textFill>
        </w:rPr>
        <w:t>电话：</w:t>
      </w:r>
      <w:r>
        <w:rPr>
          <w:rFonts w:hint="eastAsia" w:cs="宋体" w:eastAsiaTheme="minorEastAsia"/>
          <w:color w:val="000000" w:themeColor="text1"/>
          <w:sz w:val="24"/>
          <w:szCs w:val="24"/>
          <w:lang w:val="en-US" w:eastAsia="zh-CN"/>
          <w14:textFill>
            <w14:solidFill>
              <w14:schemeClr w14:val="tx1"/>
            </w14:solidFill>
          </w14:textFill>
        </w:rPr>
        <w:t xml:space="preserve">   025-86185254   </w:t>
      </w:r>
    </w:p>
    <w:p w14:paraId="50E90DBA">
      <w:pPr>
        <w:adjustRightInd w:val="0"/>
        <w:snapToGrid w:val="0"/>
        <w:spacing w:line="520" w:lineRule="exact"/>
        <w:ind w:firstLine="720" w:firstLineChars="300"/>
        <w:rPr>
          <w:rFonts w:cs="宋体" w:eastAsiaTheme="minorEastAsia"/>
          <w:sz w:val="24"/>
          <w:szCs w:val="24"/>
        </w:rPr>
      </w:pPr>
      <w:r>
        <w:rPr>
          <w:rFonts w:hint="eastAsia" w:cs="宋体" w:eastAsiaTheme="minorEastAsia"/>
          <w:sz w:val="24"/>
          <w:szCs w:val="24"/>
        </w:rPr>
        <w:t>地址：江苏省南京市</w:t>
      </w:r>
      <w:r>
        <w:rPr>
          <w:rFonts w:hint="eastAsia" w:cs="宋体" w:eastAsiaTheme="minorEastAsia"/>
          <w:sz w:val="24"/>
          <w:szCs w:val="24"/>
          <w:lang w:val="en-US" w:eastAsia="zh-CN"/>
        </w:rPr>
        <w:t>江宁区龙眠大道639号</w:t>
      </w:r>
      <w:r>
        <w:rPr>
          <w:rFonts w:hint="eastAsia" w:cs="宋体" w:eastAsiaTheme="minorEastAsia"/>
          <w:sz w:val="24"/>
          <w:szCs w:val="24"/>
          <w:lang w:eastAsia="zh-CN"/>
        </w:rPr>
        <w:t>中国药科大学</w:t>
      </w:r>
    </w:p>
    <w:p w14:paraId="08F580EC">
      <w:pPr>
        <w:adjustRightInd w:val="0"/>
        <w:snapToGrid w:val="0"/>
        <w:spacing w:line="520" w:lineRule="exact"/>
        <w:ind w:firstLine="480" w:firstLineChars="200"/>
        <w:rPr>
          <w:rFonts w:cs="宋体" w:eastAsiaTheme="minorEastAsia"/>
          <w:sz w:val="24"/>
          <w:szCs w:val="24"/>
        </w:rPr>
      </w:pPr>
    </w:p>
    <w:p w14:paraId="17C0745C">
      <w:pPr>
        <w:adjustRightInd w:val="0"/>
        <w:snapToGrid w:val="0"/>
        <w:spacing w:line="520" w:lineRule="exact"/>
        <w:ind w:firstLine="480" w:firstLineChars="200"/>
        <w:jc w:val="right"/>
        <w:rPr>
          <w:rFonts w:cs="宋体" w:eastAsiaTheme="minorEastAsia"/>
          <w:sz w:val="24"/>
          <w:szCs w:val="24"/>
        </w:rPr>
      </w:pPr>
      <w:r>
        <w:rPr>
          <w:rFonts w:hint="eastAsia" w:cs="宋体" w:eastAsiaTheme="minorEastAsia"/>
          <w:sz w:val="24"/>
          <w:szCs w:val="24"/>
          <w:lang w:eastAsia="zh-CN"/>
        </w:rPr>
        <w:t>中国药科大学</w:t>
      </w:r>
      <w:r>
        <w:rPr>
          <w:rFonts w:hint="eastAsia" w:cs="宋体" w:eastAsiaTheme="minorEastAsia"/>
          <w:sz w:val="24"/>
          <w:szCs w:val="24"/>
        </w:rPr>
        <w:t>基建</w:t>
      </w:r>
      <w:r>
        <w:rPr>
          <w:rFonts w:hint="eastAsia" w:cs="宋体" w:eastAsiaTheme="minorEastAsia"/>
          <w:sz w:val="24"/>
          <w:szCs w:val="24"/>
          <w:lang w:val="en-US" w:eastAsia="zh-CN"/>
        </w:rPr>
        <w:t>后勤</w:t>
      </w:r>
      <w:r>
        <w:rPr>
          <w:rFonts w:hint="eastAsia" w:cs="宋体" w:eastAsiaTheme="minorEastAsia"/>
          <w:sz w:val="24"/>
          <w:szCs w:val="24"/>
        </w:rPr>
        <w:t>处</w:t>
      </w:r>
    </w:p>
    <w:p w14:paraId="02D95F5C">
      <w:pPr>
        <w:adjustRightInd w:val="0"/>
        <w:snapToGrid w:val="0"/>
        <w:spacing w:line="520" w:lineRule="exact"/>
        <w:ind w:firstLine="480" w:firstLineChars="200"/>
        <w:jc w:val="right"/>
        <w:rPr>
          <w:rFonts w:cs="宋体" w:eastAsiaTheme="minorEastAsia"/>
          <w:sz w:val="24"/>
          <w:szCs w:val="24"/>
        </w:rPr>
      </w:pPr>
      <w:r>
        <w:rPr>
          <w:rFonts w:hint="eastAsia" w:cs="宋体" w:eastAsiaTheme="minorEastAsia"/>
          <w:sz w:val="24"/>
          <w:szCs w:val="24"/>
        </w:rPr>
        <w:t>202</w:t>
      </w:r>
      <w:r>
        <w:rPr>
          <w:rFonts w:hint="eastAsia" w:cs="宋体" w:eastAsiaTheme="minorEastAsia"/>
          <w:sz w:val="24"/>
          <w:szCs w:val="24"/>
          <w:lang w:val="en-US" w:eastAsia="zh-CN"/>
        </w:rPr>
        <w:t>6</w:t>
      </w:r>
      <w:r>
        <w:rPr>
          <w:rFonts w:hint="eastAsia" w:cs="宋体" w:eastAsiaTheme="minorEastAsia"/>
          <w:sz w:val="24"/>
          <w:szCs w:val="24"/>
        </w:rPr>
        <w:t>年</w:t>
      </w:r>
      <w:r>
        <w:rPr>
          <w:rFonts w:hint="eastAsia" w:cs="宋体" w:eastAsiaTheme="minorEastAsia"/>
          <w:sz w:val="24"/>
          <w:szCs w:val="24"/>
          <w:lang w:val="en-US" w:eastAsia="zh-CN"/>
        </w:rPr>
        <w:t>1</w:t>
      </w:r>
      <w:r>
        <w:rPr>
          <w:rFonts w:hint="eastAsia" w:cs="宋体" w:eastAsiaTheme="minorEastAsia"/>
          <w:sz w:val="24"/>
          <w:szCs w:val="24"/>
        </w:rPr>
        <w:t>月</w:t>
      </w:r>
      <w:r>
        <w:rPr>
          <w:rFonts w:hint="eastAsia" w:cs="宋体" w:eastAsiaTheme="minorEastAsia"/>
          <w:sz w:val="24"/>
          <w:szCs w:val="24"/>
          <w:lang w:val="en-US" w:eastAsia="zh-CN"/>
        </w:rPr>
        <w:t>9</w:t>
      </w:r>
      <w:r>
        <w:rPr>
          <w:rFonts w:hint="eastAsia" w:cs="宋体" w:eastAsiaTheme="minorEastAsia"/>
          <w:sz w:val="24"/>
          <w:szCs w:val="24"/>
        </w:rPr>
        <w:t>日</w:t>
      </w:r>
    </w:p>
    <w:p w14:paraId="5BFBABD7">
      <w:pPr>
        <w:adjustRightInd w:val="0"/>
        <w:snapToGrid w:val="0"/>
        <w:spacing w:line="440" w:lineRule="exact"/>
        <w:ind w:firstLine="200"/>
        <w:jc w:val="right"/>
        <w:rPr>
          <w:sz w:val="24"/>
          <w:szCs w:val="24"/>
        </w:rPr>
      </w:pPr>
    </w:p>
    <w:p w14:paraId="4D3CB474">
      <w:pPr>
        <w:adjustRightInd w:val="0"/>
        <w:snapToGrid w:val="0"/>
        <w:spacing w:line="440" w:lineRule="exact"/>
        <w:ind w:firstLine="200"/>
        <w:rPr>
          <w:sz w:val="24"/>
          <w:szCs w:val="24"/>
        </w:rPr>
      </w:pPr>
      <w:r>
        <w:rPr>
          <w:sz w:val="24"/>
          <w:szCs w:val="24"/>
        </w:rPr>
        <w:br w:type="page"/>
      </w:r>
    </w:p>
    <w:p w14:paraId="2CE3A779">
      <w:pPr>
        <w:spacing w:before="156" w:beforeLines="50" w:after="156" w:afterLines="50" w:line="400" w:lineRule="exact"/>
        <w:ind w:right="119"/>
        <w:jc w:val="center"/>
        <w:rPr>
          <w:b/>
          <w:snapToGrid w:val="0"/>
          <w:sz w:val="30"/>
          <w:szCs w:val="30"/>
        </w:rPr>
      </w:pPr>
      <w:r>
        <w:rPr>
          <w:rFonts w:hint="eastAsia"/>
          <w:b/>
          <w:snapToGrid w:val="0"/>
          <w:sz w:val="30"/>
          <w:szCs w:val="30"/>
        </w:rPr>
        <w:t>第二章  勘测需求及报价说明</w:t>
      </w:r>
    </w:p>
    <w:p w14:paraId="57D49A5D">
      <w:pPr>
        <w:keepNext w:val="0"/>
        <w:keepLines w:val="0"/>
        <w:pageBreakBefore w:val="0"/>
        <w:widowControl/>
        <w:kinsoku/>
        <w:wordWrap/>
        <w:overflowPunct/>
        <w:topLinePunct w:val="0"/>
        <w:autoSpaceDE/>
        <w:autoSpaceDN/>
        <w:bidi w:val="0"/>
        <w:adjustRightInd/>
        <w:snapToGrid/>
        <w:spacing w:line="360" w:lineRule="auto"/>
        <w:jc w:val="left"/>
        <w:textAlignment w:val="auto"/>
        <w:rPr>
          <w:b/>
          <w:sz w:val="24"/>
          <w:szCs w:val="24"/>
        </w:rPr>
      </w:pPr>
      <w:r>
        <w:rPr>
          <w:rFonts w:hint="eastAsia"/>
          <w:b/>
          <w:sz w:val="24"/>
          <w:szCs w:val="24"/>
        </w:rPr>
        <w:t>一、地形图测绘</w:t>
      </w:r>
    </w:p>
    <w:p w14:paraId="2BA90DEA">
      <w:pPr>
        <w:keepNext w:val="0"/>
        <w:keepLines w:val="0"/>
        <w:pageBreakBefore w:val="0"/>
        <w:widowControl/>
        <w:kinsoku/>
        <w:wordWrap/>
        <w:overflowPunct/>
        <w:topLinePunct w:val="0"/>
        <w:autoSpaceDE/>
        <w:autoSpaceDN/>
        <w:bidi w:val="0"/>
        <w:adjustRightInd/>
        <w:snapToGrid/>
        <w:spacing w:line="360" w:lineRule="auto"/>
        <w:textAlignment w:val="auto"/>
        <w:rPr>
          <w:b/>
          <w:sz w:val="24"/>
          <w:szCs w:val="24"/>
        </w:rPr>
      </w:pPr>
      <w:r>
        <w:rPr>
          <w:rFonts w:hint="eastAsia"/>
          <w:b/>
          <w:sz w:val="24"/>
          <w:szCs w:val="24"/>
        </w:rPr>
        <w:t>1.测绘范围</w:t>
      </w:r>
    </w:p>
    <w:p w14:paraId="0E743D2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项目位于中国药科大学江宁校区校园内部，是中国药科大学江宁校区校园水系的重要部分，共计面积11.05公顷，其中北侧药用植物园水体1.59公顷，明湖面积约5.52公顷，镜湖面积约3.30公顷，南侧水塘约0.64公顷。</w:t>
      </w:r>
    </w:p>
    <w:p w14:paraId="158D08FB">
      <w:pPr>
        <w:keepNext/>
        <w:jc w:val="center"/>
      </w:pPr>
      <w:r>
        <w:drawing>
          <wp:inline distT="0" distB="0" distL="114300" distR="114300">
            <wp:extent cx="4983480" cy="5589905"/>
            <wp:effectExtent l="0" t="0" r="7620" b="10795"/>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10"/>
                    <a:srcRect r="13262"/>
                    <a:stretch>
                      <a:fillRect/>
                    </a:stretch>
                  </pic:blipFill>
                  <pic:spPr>
                    <a:xfrm>
                      <a:off x="0" y="0"/>
                      <a:ext cx="5025804" cy="5636969"/>
                    </a:xfrm>
                    <a:prstGeom prst="rect">
                      <a:avLst/>
                    </a:prstGeom>
                  </pic:spPr>
                </pic:pic>
              </a:graphicData>
            </a:graphic>
          </wp:inline>
        </w:drawing>
      </w:r>
    </w:p>
    <w:p w14:paraId="24F5E237">
      <w:pPr>
        <w:pStyle w:val="13"/>
        <w:jc w:val="center"/>
        <w:rPr>
          <w:sz w:val="28"/>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r>
        <w:t xml:space="preserve"> </w:t>
      </w:r>
      <w:r>
        <w:rPr>
          <w:rFonts w:hint="eastAsia"/>
        </w:rPr>
        <w:t>项目区位置</w:t>
      </w:r>
    </w:p>
    <w:p w14:paraId="6B07D58B">
      <w:pPr>
        <w:keepNext w:val="0"/>
        <w:keepLines w:val="0"/>
        <w:pageBreakBefore w:val="0"/>
        <w:widowControl/>
        <w:kinsoku/>
        <w:wordWrap/>
        <w:overflowPunct/>
        <w:topLinePunct w:val="0"/>
        <w:autoSpaceDE/>
        <w:autoSpaceDN/>
        <w:bidi w:val="0"/>
        <w:adjustRightInd/>
        <w:snapToGrid/>
        <w:spacing w:line="360" w:lineRule="auto"/>
        <w:textAlignment w:val="auto"/>
        <w:rPr>
          <w:b/>
          <w:sz w:val="24"/>
          <w:szCs w:val="24"/>
        </w:rPr>
      </w:pPr>
      <w:r>
        <w:rPr>
          <w:rFonts w:hint="eastAsia"/>
          <w:b/>
          <w:sz w:val="24"/>
          <w:szCs w:val="24"/>
        </w:rPr>
        <w:t>2.测绘</w:t>
      </w:r>
      <w:r>
        <w:rPr>
          <w:b/>
          <w:sz w:val="24"/>
          <w:szCs w:val="24"/>
        </w:rPr>
        <w:t>内容</w:t>
      </w:r>
    </w:p>
    <w:p w14:paraId="13C69452">
      <w:pPr>
        <w:keepNext w:val="0"/>
        <w:keepLines w:val="0"/>
        <w:pageBreakBefore w:val="0"/>
        <w:widowControl/>
        <w:kinsoku/>
        <w:wordWrap/>
        <w:overflowPunct/>
        <w:topLinePunct w:val="0"/>
        <w:autoSpaceDE/>
        <w:autoSpaceDN/>
        <w:bidi w:val="0"/>
        <w:adjustRightInd/>
        <w:snapToGrid/>
        <w:spacing w:line="360" w:lineRule="auto"/>
        <w:textAlignment w:val="auto"/>
        <w:rPr>
          <w:b/>
          <w:sz w:val="24"/>
          <w:szCs w:val="24"/>
        </w:rPr>
      </w:pPr>
      <w:r>
        <w:rPr>
          <w:rFonts w:hint="eastAsia"/>
          <w:b/>
          <w:sz w:val="24"/>
          <w:szCs w:val="24"/>
        </w:rPr>
        <w:t>（1）湖泊区域</w:t>
      </w:r>
    </w:p>
    <w:p w14:paraId="682EA9D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测绘</w:t>
      </w:r>
      <w:r>
        <w:rPr>
          <w:sz w:val="24"/>
          <w:szCs w:val="24"/>
        </w:rPr>
        <w:t>范围内所有岸坡</w:t>
      </w:r>
      <w:r>
        <w:rPr>
          <w:rFonts w:hint="eastAsia"/>
          <w:sz w:val="24"/>
          <w:szCs w:val="24"/>
        </w:rPr>
        <w:t>上</w:t>
      </w:r>
      <w:r>
        <w:rPr>
          <w:sz w:val="24"/>
          <w:szCs w:val="24"/>
        </w:rPr>
        <w:t>构筑物、</w:t>
      </w:r>
      <w:r>
        <w:rPr>
          <w:rFonts w:hint="eastAsia"/>
          <w:sz w:val="24"/>
          <w:szCs w:val="24"/>
        </w:rPr>
        <w:t>建筑物</w:t>
      </w:r>
      <w:r>
        <w:rPr>
          <w:sz w:val="24"/>
          <w:szCs w:val="24"/>
        </w:rPr>
        <w:t>、湖泊</w:t>
      </w:r>
      <w:r>
        <w:rPr>
          <w:rFonts w:hint="eastAsia"/>
          <w:sz w:val="24"/>
          <w:szCs w:val="24"/>
        </w:rPr>
        <w:t>、</w:t>
      </w:r>
      <w:r>
        <w:rPr>
          <w:sz w:val="24"/>
          <w:szCs w:val="24"/>
        </w:rPr>
        <w:t>道路</w:t>
      </w:r>
      <w:r>
        <w:rPr>
          <w:rFonts w:hint="eastAsia"/>
          <w:sz w:val="24"/>
          <w:szCs w:val="24"/>
        </w:rPr>
        <w:t>、植物</w:t>
      </w:r>
      <w:r>
        <w:rPr>
          <w:sz w:val="24"/>
          <w:szCs w:val="24"/>
        </w:rPr>
        <w:t>等，</w:t>
      </w:r>
      <w:r>
        <w:rPr>
          <w:rFonts w:hint="eastAsia"/>
          <w:sz w:val="24"/>
          <w:szCs w:val="24"/>
        </w:rPr>
        <w:t>需重点</w:t>
      </w:r>
      <w:r>
        <w:rPr>
          <w:sz w:val="24"/>
          <w:szCs w:val="24"/>
        </w:rPr>
        <w:t>测绘范围内湖泊的塘梗、湖泊等高程、淤泥厚度、水面高程等</w:t>
      </w:r>
      <w:r>
        <w:rPr>
          <w:rFonts w:hint="eastAsia"/>
          <w:sz w:val="24"/>
          <w:szCs w:val="24"/>
        </w:rPr>
        <w:t>。</w:t>
      </w:r>
    </w:p>
    <w:p w14:paraId="503C356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湖泊的水下地形；</w:t>
      </w:r>
    </w:p>
    <w:p w14:paraId="7317F79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湖泊的进出水口位置及高程；</w:t>
      </w:r>
    </w:p>
    <w:p w14:paraId="5F648E4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范围内</w:t>
      </w:r>
      <w:r>
        <w:rPr>
          <w:sz w:val="24"/>
          <w:szCs w:val="24"/>
        </w:rPr>
        <w:t>所有道路高程</w:t>
      </w:r>
      <w:r>
        <w:rPr>
          <w:rFonts w:hint="eastAsia"/>
          <w:sz w:val="24"/>
          <w:szCs w:val="24"/>
        </w:rPr>
        <w:t>；</w:t>
      </w:r>
    </w:p>
    <w:p w14:paraId="6A0E159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测绘范围内排污口、雨水口及高程；</w:t>
      </w:r>
    </w:p>
    <w:p w14:paraId="653E8181">
      <w:pPr>
        <w:keepNext w:val="0"/>
        <w:keepLines w:val="0"/>
        <w:pageBreakBefore w:val="0"/>
        <w:widowControl/>
        <w:numPr>
          <w:ilvl w:val="0"/>
          <w:numId w:val="1"/>
        </w:numPr>
        <w:kinsoku/>
        <w:wordWrap/>
        <w:overflowPunct/>
        <w:topLinePunct w:val="0"/>
        <w:autoSpaceDE/>
        <w:autoSpaceDN/>
        <w:bidi w:val="0"/>
        <w:adjustRightInd/>
        <w:snapToGrid/>
        <w:spacing w:line="360" w:lineRule="auto"/>
        <w:textAlignment w:val="auto"/>
        <w:rPr>
          <w:b/>
          <w:bCs/>
          <w:sz w:val="24"/>
          <w:szCs w:val="24"/>
        </w:rPr>
      </w:pPr>
      <w:r>
        <w:rPr>
          <w:rFonts w:hint="eastAsia"/>
          <w:b/>
          <w:bCs/>
          <w:sz w:val="24"/>
          <w:szCs w:val="24"/>
        </w:rPr>
        <w:t>雨水排口</w:t>
      </w:r>
    </w:p>
    <w:p w14:paraId="79D41FAB">
      <w:pPr>
        <w:keepNext w:val="0"/>
        <w:keepLines w:val="0"/>
        <w:pageBreakBefore w:val="0"/>
        <w:widowControl/>
        <w:kinsoku/>
        <w:wordWrap/>
        <w:overflowPunct/>
        <w:topLinePunct w:val="0"/>
        <w:autoSpaceDE/>
        <w:autoSpaceDN/>
        <w:bidi w:val="0"/>
        <w:adjustRightInd/>
        <w:snapToGrid/>
        <w:spacing w:line="360" w:lineRule="auto"/>
        <w:ind w:firstLine="555"/>
        <w:textAlignment w:val="auto"/>
        <w:rPr>
          <w:sz w:val="24"/>
          <w:szCs w:val="24"/>
        </w:rPr>
      </w:pPr>
      <w:r>
        <w:rPr>
          <w:rFonts w:hint="eastAsia"/>
          <w:sz w:val="24"/>
          <w:szCs w:val="24"/>
        </w:rPr>
        <w:t>雨水排口处加密测量，包括但不限于排口底高程、管径，排口附近的高程等。</w:t>
      </w:r>
    </w:p>
    <w:p w14:paraId="56FDAF1A">
      <w:pPr>
        <w:keepNext w:val="0"/>
        <w:keepLines w:val="0"/>
        <w:pageBreakBefore w:val="0"/>
        <w:widowControl/>
        <w:kinsoku/>
        <w:wordWrap/>
        <w:overflowPunct/>
        <w:topLinePunct w:val="0"/>
        <w:autoSpaceDE/>
        <w:autoSpaceDN/>
        <w:bidi w:val="0"/>
        <w:adjustRightInd/>
        <w:snapToGrid/>
        <w:spacing w:line="360" w:lineRule="auto"/>
        <w:textAlignment w:val="auto"/>
        <w:rPr>
          <w:b/>
          <w:sz w:val="24"/>
          <w:szCs w:val="24"/>
        </w:rPr>
      </w:pPr>
      <w:r>
        <w:rPr>
          <w:b/>
          <w:sz w:val="24"/>
          <w:szCs w:val="24"/>
        </w:rPr>
        <w:t>（</w:t>
      </w:r>
      <w:r>
        <w:rPr>
          <w:rFonts w:hint="eastAsia"/>
          <w:b/>
          <w:sz w:val="24"/>
          <w:szCs w:val="24"/>
        </w:rPr>
        <w:t>3</w:t>
      </w:r>
      <w:r>
        <w:rPr>
          <w:b/>
          <w:sz w:val="24"/>
          <w:szCs w:val="24"/>
        </w:rPr>
        <w:t>）输水管线</w:t>
      </w:r>
    </w:p>
    <w:p w14:paraId="6110235D">
      <w:pPr>
        <w:keepNext w:val="0"/>
        <w:keepLines w:val="0"/>
        <w:pageBreakBefore w:val="0"/>
        <w:widowControl/>
        <w:kinsoku/>
        <w:wordWrap/>
        <w:overflowPunct/>
        <w:topLinePunct w:val="0"/>
        <w:autoSpaceDE/>
        <w:autoSpaceDN/>
        <w:bidi w:val="0"/>
        <w:adjustRightInd/>
        <w:snapToGrid/>
        <w:spacing w:line="360" w:lineRule="auto"/>
        <w:ind w:firstLine="555"/>
        <w:textAlignment w:val="auto"/>
        <w:rPr>
          <w:rFonts w:hint="eastAsia"/>
          <w:b/>
          <w:sz w:val="24"/>
          <w:szCs w:val="24"/>
        </w:rPr>
      </w:pPr>
      <w:r>
        <w:rPr>
          <w:rFonts w:hint="eastAsia"/>
          <w:sz w:val="24"/>
          <w:szCs w:val="24"/>
        </w:rPr>
        <w:t>拟建输水管线沿线</w:t>
      </w:r>
      <w:r>
        <w:rPr>
          <w:sz w:val="24"/>
          <w:szCs w:val="24"/>
        </w:rPr>
        <w:t>5m范围</w:t>
      </w:r>
      <w:r>
        <w:rPr>
          <w:rFonts w:hint="eastAsia"/>
          <w:sz w:val="24"/>
          <w:szCs w:val="24"/>
        </w:rPr>
        <w:t>现状地下管线走向、埋深、检查井位置等。</w:t>
      </w:r>
    </w:p>
    <w:p w14:paraId="33A54BB5">
      <w:pPr>
        <w:keepNext w:val="0"/>
        <w:keepLines w:val="0"/>
        <w:pageBreakBefore w:val="0"/>
        <w:widowControl/>
        <w:kinsoku/>
        <w:wordWrap/>
        <w:overflowPunct/>
        <w:topLinePunct w:val="0"/>
        <w:autoSpaceDE/>
        <w:autoSpaceDN/>
        <w:bidi w:val="0"/>
        <w:adjustRightInd/>
        <w:snapToGrid/>
        <w:spacing w:line="360" w:lineRule="auto"/>
        <w:textAlignment w:val="auto"/>
        <w:rPr>
          <w:b/>
          <w:sz w:val="24"/>
          <w:szCs w:val="24"/>
        </w:rPr>
      </w:pPr>
      <w:r>
        <w:rPr>
          <w:rFonts w:hint="eastAsia"/>
          <w:b/>
          <w:sz w:val="24"/>
          <w:szCs w:val="24"/>
        </w:rPr>
        <w:t>3.测绘</w:t>
      </w:r>
      <w:r>
        <w:rPr>
          <w:b/>
          <w:sz w:val="24"/>
          <w:szCs w:val="24"/>
        </w:rPr>
        <w:t>精度</w:t>
      </w:r>
    </w:p>
    <w:p w14:paraId="21DA3E50">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b/>
          <w:sz w:val="24"/>
          <w:szCs w:val="24"/>
        </w:rPr>
      </w:pPr>
      <w:r>
        <w:rPr>
          <w:rFonts w:hint="eastAsia"/>
          <w:b/>
          <w:sz w:val="24"/>
          <w:szCs w:val="24"/>
        </w:rPr>
        <w:t>测绘</w:t>
      </w:r>
      <w:r>
        <w:rPr>
          <w:b/>
          <w:sz w:val="24"/>
          <w:szCs w:val="24"/>
        </w:rPr>
        <w:t>精度要求</w:t>
      </w:r>
      <w:r>
        <w:rPr>
          <w:rFonts w:hint="eastAsia"/>
          <w:b/>
          <w:sz w:val="24"/>
          <w:szCs w:val="24"/>
        </w:rPr>
        <w:t>1:500地形图</w:t>
      </w:r>
    </w:p>
    <w:p w14:paraId="5D76A8AC">
      <w:pPr>
        <w:keepNext w:val="0"/>
        <w:keepLines w:val="0"/>
        <w:pageBreakBefore w:val="0"/>
        <w:widowControl/>
        <w:kinsoku/>
        <w:wordWrap/>
        <w:overflowPunct/>
        <w:topLinePunct w:val="0"/>
        <w:autoSpaceDE/>
        <w:autoSpaceDN/>
        <w:bidi w:val="0"/>
        <w:adjustRightInd/>
        <w:snapToGrid/>
        <w:spacing w:line="360" w:lineRule="auto"/>
        <w:textAlignment w:val="auto"/>
        <w:rPr>
          <w:b/>
          <w:sz w:val="24"/>
          <w:szCs w:val="24"/>
        </w:rPr>
      </w:pPr>
      <w:r>
        <w:rPr>
          <w:rFonts w:hint="eastAsia"/>
          <w:b/>
          <w:sz w:val="24"/>
          <w:szCs w:val="24"/>
        </w:rPr>
        <w:t>4.其他</w:t>
      </w:r>
    </w:p>
    <w:p w14:paraId="0D855DF7">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b/>
          <w:sz w:val="24"/>
          <w:szCs w:val="24"/>
        </w:rPr>
      </w:pPr>
      <w:r>
        <w:rPr>
          <w:rFonts w:hint="eastAsia"/>
          <w:b/>
          <w:sz w:val="24"/>
          <w:szCs w:val="24"/>
        </w:rPr>
        <w:t>其他</w:t>
      </w:r>
      <w:r>
        <w:rPr>
          <w:b/>
          <w:sz w:val="24"/>
          <w:szCs w:val="24"/>
        </w:rPr>
        <w:t>要求参照</w:t>
      </w:r>
      <w:r>
        <w:rPr>
          <w:rFonts w:hint="eastAsia"/>
          <w:b/>
          <w:sz w:val="24"/>
          <w:szCs w:val="24"/>
        </w:rPr>
        <w:t>相关</w:t>
      </w:r>
      <w:r>
        <w:rPr>
          <w:b/>
          <w:sz w:val="24"/>
          <w:szCs w:val="24"/>
        </w:rPr>
        <w:t>规范要求</w:t>
      </w:r>
    </w:p>
    <w:p w14:paraId="5F24A5C5">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b/>
          <w:sz w:val="24"/>
          <w:szCs w:val="24"/>
        </w:rPr>
      </w:pPr>
    </w:p>
    <w:p w14:paraId="788E5694">
      <w:pPr>
        <w:keepNext w:val="0"/>
        <w:keepLines w:val="0"/>
        <w:pageBreakBefore w:val="0"/>
        <w:widowControl/>
        <w:numPr>
          <w:ilvl w:val="0"/>
          <w:numId w:val="2"/>
        </w:numPr>
        <w:kinsoku/>
        <w:wordWrap/>
        <w:overflowPunct/>
        <w:topLinePunct w:val="0"/>
        <w:autoSpaceDE/>
        <w:autoSpaceDN/>
        <w:bidi w:val="0"/>
        <w:adjustRightInd/>
        <w:snapToGrid/>
        <w:spacing w:line="360" w:lineRule="auto"/>
        <w:textAlignment w:val="auto"/>
        <w:rPr>
          <w:b/>
          <w:sz w:val="24"/>
          <w:szCs w:val="24"/>
        </w:rPr>
      </w:pPr>
      <w:r>
        <w:rPr>
          <w:rFonts w:hint="eastAsia"/>
          <w:b/>
          <w:sz w:val="24"/>
          <w:szCs w:val="24"/>
        </w:rPr>
        <w:t>地质勘察</w:t>
      </w:r>
    </w:p>
    <w:p w14:paraId="38119BBB">
      <w:pPr>
        <w:keepNext w:val="0"/>
        <w:keepLines w:val="0"/>
        <w:pageBreakBefore w:val="0"/>
        <w:widowControl/>
        <w:numPr>
          <w:ilvl w:val="0"/>
          <w:numId w:val="3"/>
        </w:numPr>
        <w:kinsoku/>
        <w:wordWrap/>
        <w:overflowPunct/>
        <w:topLinePunct w:val="0"/>
        <w:autoSpaceDE/>
        <w:autoSpaceDN/>
        <w:bidi w:val="0"/>
        <w:adjustRightInd/>
        <w:snapToGrid/>
        <w:spacing w:line="360" w:lineRule="auto"/>
        <w:textAlignment w:val="auto"/>
        <w:rPr>
          <w:b/>
          <w:sz w:val="24"/>
          <w:szCs w:val="24"/>
        </w:rPr>
      </w:pPr>
      <w:r>
        <w:rPr>
          <w:rFonts w:hint="eastAsia"/>
          <w:b/>
          <w:sz w:val="24"/>
          <w:szCs w:val="24"/>
        </w:rPr>
        <w:t>拟建工程概况：</w:t>
      </w:r>
    </w:p>
    <w:p w14:paraId="777A4F47">
      <w:pPr>
        <w:keepNext w:val="0"/>
        <w:keepLines w:val="0"/>
        <w:pageBreakBefore w:val="0"/>
        <w:widowControl/>
        <w:kinsoku/>
        <w:wordWrap/>
        <w:overflowPunct/>
        <w:topLinePunct w:val="0"/>
        <w:autoSpaceDE/>
        <w:autoSpaceDN/>
        <w:bidi w:val="0"/>
        <w:adjustRightInd/>
        <w:snapToGrid/>
        <w:spacing w:line="360" w:lineRule="auto"/>
        <w:ind w:firstLine="560"/>
        <w:textAlignment w:val="auto"/>
        <w:rPr>
          <w:sz w:val="24"/>
          <w:szCs w:val="24"/>
        </w:rPr>
      </w:pPr>
      <w:r>
        <w:rPr>
          <w:sz w:val="24"/>
          <w:szCs w:val="24"/>
        </w:rPr>
        <w:t>本项目拟建一体化泵站一座（配套取水口、进水闸门井、出水阀门井各一座）、出水涵闸一座、出水口两座、排口湿地</w:t>
      </w:r>
      <w:r>
        <w:rPr>
          <w:rFonts w:hint="eastAsia"/>
          <w:sz w:val="24"/>
          <w:szCs w:val="24"/>
        </w:rPr>
        <w:t>3座、埋地管线</w:t>
      </w:r>
      <w:r>
        <w:rPr>
          <w:sz w:val="24"/>
          <w:szCs w:val="24"/>
        </w:rPr>
        <w:t>1590m。</w:t>
      </w:r>
    </w:p>
    <w:p w14:paraId="77A29B07">
      <w:pPr>
        <w:keepNext w:val="0"/>
        <w:keepLines w:val="0"/>
        <w:pageBreakBefore w:val="0"/>
        <w:widowControl/>
        <w:kinsoku/>
        <w:wordWrap/>
        <w:overflowPunct/>
        <w:topLinePunct w:val="0"/>
        <w:autoSpaceDE/>
        <w:autoSpaceDN/>
        <w:bidi w:val="0"/>
        <w:adjustRightInd/>
        <w:snapToGrid/>
        <w:spacing w:line="360" w:lineRule="auto"/>
        <w:ind w:firstLine="560"/>
        <w:textAlignment w:val="auto"/>
        <w:rPr>
          <w:sz w:val="28"/>
        </w:rPr>
      </w:pPr>
      <w:r>
        <w:rPr>
          <w:sz w:val="24"/>
          <w:szCs w:val="24"/>
        </w:rPr>
        <w:t>拟建工程平面位置如下图所示：</w:t>
      </w:r>
    </w:p>
    <w:p w14:paraId="57DDFD96">
      <w:pPr>
        <w:rPr>
          <w:sz w:val="28"/>
        </w:rPr>
      </w:pPr>
      <w:r>
        <w:drawing>
          <wp:inline distT="0" distB="0" distL="0" distR="0">
            <wp:extent cx="5274310" cy="59810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5981065"/>
                    </a:xfrm>
                    <a:prstGeom prst="rect">
                      <a:avLst/>
                    </a:prstGeom>
                  </pic:spPr>
                </pic:pic>
              </a:graphicData>
            </a:graphic>
          </wp:inline>
        </w:drawing>
      </w:r>
    </w:p>
    <w:p w14:paraId="08A8C235">
      <w:pPr>
        <w:pStyle w:val="13"/>
        <w:jc w:val="center"/>
        <w:rPr>
          <w:rFonts w:hint="eastAsia"/>
          <w:sz w:val="28"/>
        </w:rPr>
      </w:pPr>
      <w:r>
        <w:rPr>
          <w:rFonts w:hint="eastAsia"/>
        </w:rPr>
        <w:t xml:space="preserve">图 </w:t>
      </w:r>
      <w:r>
        <w:t xml:space="preserve">2 </w:t>
      </w:r>
      <w:r>
        <w:rPr>
          <w:rFonts w:hint="eastAsia"/>
        </w:rPr>
        <w:t>拟建工程平面</w:t>
      </w:r>
    </w:p>
    <w:p w14:paraId="567CCE3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sz w:val="28"/>
        </w:rPr>
        <w:sectPr>
          <w:pgSz w:w="11906" w:h="16838"/>
          <w:pgMar w:top="1440" w:right="1800" w:bottom="1440" w:left="1800" w:header="851" w:footer="992" w:gutter="0"/>
          <w:cols w:space="425" w:num="1"/>
          <w:docGrid w:type="lines" w:linePitch="312" w:charSpace="0"/>
        </w:sectPr>
      </w:pPr>
      <w:r>
        <w:rPr>
          <w:rFonts w:hint="eastAsia"/>
          <w:sz w:val="24"/>
          <w:szCs w:val="24"/>
        </w:rPr>
        <w:t>本项目拟建建构筑物如下：</w:t>
      </w:r>
    </w:p>
    <w:tbl>
      <w:tblPr>
        <w:tblStyle w:val="39"/>
        <w:tblW w:w="0" w:type="auto"/>
        <w:jc w:val="center"/>
        <w:tblLayout w:type="autofit"/>
        <w:tblCellMar>
          <w:top w:w="15" w:type="dxa"/>
          <w:left w:w="15" w:type="dxa"/>
          <w:bottom w:w="15" w:type="dxa"/>
          <w:right w:w="15" w:type="dxa"/>
        </w:tblCellMar>
      </w:tblPr>
      <w:tblGrid>
        <w:gridCol w:w="1840"/>
        <w:gridCol w:w="2126"/>
        <w:gridCol w:w="1701"/>
        <w:gridCol w:w="2633"/>
      </w:tblGrid>
      <w:tr w14:paraId="06AA943B">
        <w:tblPrEx>
          <w:tblCellMar>
            <w:top w:w="15" w:type="dxa"/>
            <w:left w:w="15" w:type="dxa"/>
            <w:bottom w:w="15" w:type="dxa"/>
            <w:right w:w="15" w:type="dxa"/>
          </w:tblCellMar>
        </w:tblPrEx>
        <w:trPr>
          <w:trHeight w:val="405" w:hRule="atLeast"/>
          <w:jc w:val="center"/>
        </w:trPr>
        <w:tc>
          <w:tcPr>
            <w:tcW w:w="1840" w:type="dxa"/>
            <w:tcBorders>
              <w:top w:val="single" w:color="CBCDD1" w:sz="2" w:space="0"/>
              <w:left w:val="single" w:color="CBCDD1" w:sz="2" w:space="0"/>
              <w:bottom w:val="single" w:color="DEE0E3" w:sz="2" w:space="0"/>
              <w:right w:val="single" w:color="DEE0E3" w:sz="2" w:space="0"/>
            </w:tcBorders>
            <w:tcMar>
              <w:top w:w="60" w:type="dxa"/>
              <w:left w:w="120" w:type="dxa"/>
              <w:bottom w:w="30" w:type="dxa"/>
              <w:right w:w="120" w:type="dxa"/>
            </w:tcMar>
            <w:vAlign w:val="center"/>
          </w:tcPr>
          <w:p w14:paraId="723AB298">
            <w:pPr>
              <w:pStyle w:val="111"/>
              <w:widowControl w:val="0"/>
            </w:pPr>
            <w:r>
              <w:rPr>
                <w:rFonts w:hint="eastAsia"/>
              </w:rPr>
              <w:t>建构筑物名称</w:t>
            </w:r>
          </w:p>
        </w:tc>
        <w:tc>
          <w:tcPr>
            <w:tcW w:w="2126" w:type="dxa"/>
            <w:tcBorders>
              <w:top w:val="single" w:color="CBCDD1" w:sz="2" w:space="0"/>
              <w:left w:val="single" w:color="DEE0E3" w:sz="2" w:space="0"/>
              <w:bottom w:val="single" w:color="DEE0E3" w:sz="2" w:space="0"/>
              <w:right w:val="single" w:color="DEE0E3" w:sz="2" w:space="0"/>
            </w:tcBorders>
            <w:tcMar>
              <w:top w:w="60" w:type="dxa"/>
              <w:left w:w="120" w:type="dxa"/>
              <w:bottom w:w="30" w:type="dxa"/>
              <w:right w:w="120" w:type="dxa"/>
            </w:tcMar>
            <w:vAlign w:val="center"/>
          </w:tcPr>
          <w:p w14:paraId="2FFA8518">
            <w:pPr>
              <w:pStyle w:val="111"/>
              <w:widowControl w:val="0"/>
            </w:pPr>
            <w:r>
              <w:rPr>
                <w:rFonts w:hint="eastAsia"/>
              </w:rPr>
              <w:t>尺寸</w:t>
            </w:r>
          </w:p>
        </w:tc>
        <w:tc>
          <w:tcPr>
            <w:tcW w:w="1701" w:type="dxa"/>
            <w:tcBorders>
              <w:top w:val="single" w:color="CBCDD1" w:sz="2" w:space="0"/>
              <w:left w:val="single" w:color="DEE0E3" w:sz="2" w:space="0"/>
              <w:bottom w:val="single" w:color="DEE0E3" w:sz="2" w:space="0"/>
              <w:right w:val="single" w:color="DEE0E3" w:sz="2" w:space="0"/>
            </w:tcBorders>
            <w:tcMar>
              <w:top w:w="60" w:type="dxa"/>
              <w:left w:w="120" w:type="dxa"/>
              <w:bottom w:w="30" w:type="dxa"/>
              <w:right w:w="120" w:type="dxa"/>
            </w:tcMar>
            <w:vAlign w:val="center"/>
          </w:tcPr>
          <w:p w14:paraId="4FECC145">
            <w:pPr>
              <w:pStyle w:val="111"/>
              <w:widowControl w:val="0"/>
            </w:pPr>
            <w:r>
              <w:rPr>
                <w:rFonts w:hint="eastAsia"/>
              </w:rPr>
              <w:t>基础形式</w:t>
            </w:r>
          </w:p>
        </w:tc>
        <w:tc>
          <w:tcPr>
            <w:tcW w:w="2633" w:type="dxa"/>
            <w:tcBorders>
              <w:top w:val="single" w:color="CBCDD1" w:sz="2" w:space="0"/>
              <w:left w:val="single" w:color="DEE0E3" w:sz="2" w:space="0"/>
              <w:bottom w:val="single" w:color="DEE0E3" w:sz="2" w:space="0"/>
              <w:right w:val="single" w:color="CBCDD1" w:sz="2" w:space="0"/>
            </w:tcBorders>
            <w:tcMar>
              <w:top w:w="60" w:type="dxa"/>
              <w:left w:w="120" w:type="dxa"/>
              <w:bottom w:w="30" w:type="dxa"/>
              <w:right w:w="120" w:type="dxa"/>
            </w:tcMar>
            <w:vAlign w:val="center"/>
          </w:tcPr>
          <w:p w14:paraId="02AFFCA9">
            <w:pPr>
              <w:pStyle w:val="111"/>
              <w:widowControl w:val="0"/>
            </w:pPr>
            <w:r>
              <w:rPr>
                <w:rFonts w:hint="eastAsia"/>
              </w:rPr>
              <w:t>基础埋深</w:t>
            </w:r>
          </w:p>
        </w:tc>
      </w:tr>
      <w:tr w14:paraId="38799AFF">
        <w:tblPrEx>
          <w:tblCellMar>
            <w:top w:w="15" w:type="dxa"/>
            <w:left w:w="15" w:type="dxa"/>
            <w:bottom w:w="15" w:type="dxa"/>
            <w:right w:w="15" w:type="dxa"/>
          </w:tblCellMar>
        </w:tblPrEx>
        <w:trPr>
          <w:trHeight w:val="405" w:hRule="atLeast"/>
          <w:jc w:val="center"/>
        </w:trPr>
        <w:tc>
          <w:tcPr>
            <w:tcW w:w="1840" w:type="dxa"/>
            <w:tcBorders>
              <w:top w:val="single" w:color="DEE0E3" w:sz="2" w:space="0"/>
              <w:left w:val="single" w:color="CBCDD1" w:sz="2" w:space="0"/>
              <w:bottom w:val="single" w:color="DEE0E3" w:sz="2" w:space="0"/>
              <w:right w:val="single" w:color="DEE0E3" w:sz="2" w:space="0"/>
            </w:tcBorders>
            <w:tcMar>
              <w:top w:w="60" w:type="dxa"/>
              <w:left w:w="120" w:type="dxa"/>
              <w:bottom w:w="30" w:type="dxa"/>
              <w:right w:w="120" w:type="dxa"/>
            </w:tcMar>
            <w:vAlign w:val="center"/>
          </w:tcPr>
          <w:p w14:paraId="5D8523C0">
            <w:pPr>
              <w:pStyle w:val="111"/>
              <w:widowControl w:val="0"/>
            </w:pPr>
            <w:r>
              <w:rPr>
                <w:rFonts w:hint="eastAsia"/>
              </w:rPr>
              <w:t>一体化泵站</w:t>
            </w:r>
          </w:p>
        </w:tc>
        <w:tc>
          <w:tcPr>
            <w:tcW w:w="2126" w:type="dxa"/>
            <w:tcBorders>
              <w:top w:val="single" w:color="DEE0E3" w:sz="2" w:space="0"/>
              <w:left w:val="single" w:color="DEE0E3" w:sz="2" w:space="0"/>
              <w:bottom w:val="single" w:color="DEE0E3" w:sz="2" w:space="0"/>
              <w:right w:val="single" w:color="DEE0E3" w:sz="2" w:space="0"/>
            </w:tcBorders>
            <w:tcMar>
              <w:top w:w="60" w:type="dxa"/>
              <w:left w:w="120" w:type="dxa"/>
              <w:bottom w:w="30" w:type="dxa"/>
              <w:right w:w="120" w:type="dxa"/>
            </w:tcMar>
            <w:vAlign w:val="center"/>
          </w:tcPr>
          <w:p w14:paraId="4FCD8E45">
            <w:pPr>
              <w:pStyle w:val="111"/>
              <w:widowControl w:val="0"/>
            </w:pPr>
            <w:r>
              <w:rPr>
                <w:rFonts w:hint="eastAsia"/>
              </w:rPr>
              <w:t>φ</w:t>
            </w:r>
            <w:r>
              <w:t>2.5*6.7</w:t>
            </w:r>
            <w:r>
              <w:rPr>
                <w:rFonts w:hint="eastAsia"/>
              </w:rPr>
              <w:t>m</w:t>
            </w:r>
          </w:p>
        </w:tc>
        <w:tc>
          <w:tcPr>
            <w:tcW w:w="1701" w:type="dxa"/>
            <w:tcBorders>
              <w:top w:val="single" w:color="DEE0E3" w:sz="2" w:space="0"/>
              <w:left w:val="single" w:color="DEE0E3" w:sz="2" w:space="0"/>
              <w:bottom w:val="single" w:color="DEE0E3" w:sz="2" w:space="0"/>
              <w:right w:val="single" w:color="DEE0E3" w:sz="2" w:space="0"/>
            </w:tcBorders>
            <w:tcMar>
              <w:top w:w="60" w:type="dxa"/>
              <w:left w:w="120" w:type="dxa"/>
              <w:bottom w:w="30" w:type="dxa"/>
              <w:right w:w="120" w:type="dxa"/>
            </w:tcMar>
            <w:vAlign w:val="center"/>
          </w:tcPr>
          <w:p w14:paraId="23165042">
            <w:pPr>
              <w:pStyle w:val="111"/>
              <w:widowControl w:val="0"/>
            </w:pPr>
            <w:r>
              <w:rPr>
                <w:rFonts w:hint="eastAsia"/>
              </w:rPr>
              <w:t>筏板基础</w:t>
            </w:r>
          </w:p>
        </w:tc>
        <w:tc>
          <w:tcPr>
            <w:tcW w:w="2633" w:type="dxa"/>
            <w:tcBorders>
              <w:top w:val="single" w:color="DEE0E3" w:sz="2" w:space="0"/>
              <w:left w:val="single" w:color="DEE0E3" w:sz="2" w:space="0"/>
              <w:bottom w:val="single" w:color="DEE0E3" w:sz="2" w:space="0"/>
              <w:right w:val="single" w:color="CBCDD1" w:sz="2" w:space="0"/>
            </w:tcBorders>
            <w:tcMar>
              <w:top w:w="60" w:type="dxa"/>
              <w:left w:w="120" w:type="dxa"/>
              <w:bottom w:w="30" w:type="dxa"/>
              <w:right w:w="120" w:type="dxa"/>
            </w:tcMar>
            <w:vAlign w:val="center"/>
          </w:tcPr>
          <w:p w14:paraId="17849565">
            <w:pPr>
              <w:pStyle w:val="111"/>
              <w:widowControl w:val="0"/>
            </w:pPr>
            <w:r>
              <w:rPr>
                <w:rFonts w:hint="eastAsia"/>
              </w:rPr>
              <w:t>7m</w:t>
            </w:r>
          </w:p>
        </w:tc>
      </w:tr>
      <w:tr w14:paraId="2C221D58">
        <w:tblPrEx>
          <w:tblCellMar>
            <w:top w:w="15" w:type="dxa"/>
            <w:left w:w="15" w:type="dxa"/>
            <w:bottom w:w="15" w:type="dxa"/>
            <w:right w:w="15" w:type="dxa"/>
          </w:tblCellMar>
        </w:tblPrEx>
        <w:trPr>
          <w:trHeight w:val="405" w:hRule="atLeast"/>
          <w:jc w:val="center"/>
        </w:trPr>
        <w:tc>
          <w:tcPr>
            <w:tcW w:w="1840" w:type="dxa"/>
            <w:tcBorders>
              <w:top w:val="single" w:color="DEE0E3" w:sz="2" w:space="0"/>
              <w:left w:val="single" w:color="CBCDD1" w:sz="2" w:space="0"/>
              <w:bottom w:val="single" w:color="DEE0E3" w:sz="2" w:space="0"/>
              <w:right w:val="single" w:color="DEE0E3" w:sz="2" w:space="0"/>
            </w:tcBorders>
            <w:tcMar>
              <w:top w:w="60" w:type="dxa"/>
              <w:left w:w="120" w:type="dxa"/>
              <w:bottom w:w="30" w:type="dxa"/>
              <w:right w:w="120" w:type="dxa"/>
            </w:tcMar>
            <w:vAlign w:val="center"/>
          </w:tcPr>
          <w:p w14:paraId="37D78952">
            <w:pPr>
              <w:pStyle w:val="111"/>
              <w:widowControl w:val="0"/>
            </w:pPr>
            <w:r>
              <w:rPr>
                <w:rFonts w:hint="eastAsia"/>
              </w:rPr>
              <w:t>进水闸门井</w:t>
            </w:r>
          </w:p>
        </w:tc>
        <w:tc>
          <w:tcPr>
            <w:tcW w:w="2126" w:type="dxa"/>
            <w:tcBorders>
              <w:top w:val="single" w:color="DEE0E3" w:sz="2" w:space="0"/>
              <w:left w:val="single" w:color="DEE0E3" w:sz="2" w:space="0"/>
              <w:bottom w:val="single" w:color="DEE0E3" w:sz="2" w:space="0"/>
              <w:right w:val="single" w:color="DEE0E3" w:sz="2" w:space="0"/>
            </w:tcBorders>
            <w:tcMar>
              <w:top w:w="60" w:type="dxa"/>
              <w:left w:w="120" w:type="dxa"/>
              <w:bottom w:w="30" w:type="dxa"/>
              <w:right w:w="120" w:type="dxa"/>
            </w:tcMar>
            <w:vAlign w:val="center"/>
          </w:tcPr>
          <w:p w14:paraId="3BCCC3A9">
            <w:pPr>
              <w:pStyle w:val="111"/>
              <w:widowControl w:val="0"/>
            </w:pPr>
            <w:r>
              <w:rPr>
                <w:rFonts w:hint="eastAsia"/>
              </w:rPr>
              <w:t>6</w:t>
            </w:r>
            <w:r>
              <w:t>.0*3.0*5.2m</w:t>
            </w:r>
          </w:p>
        </w:tc>
        <w:tc>
          <w:tcPr>
            <w:tcW w:w="1701" w:type="dxa"/>
            <w:tcBorders>
              <w:top w:val="single" w:color="DEE0E3" w:sz="2" w:space="0"/>
              <w:left w:val="single" w:color="DEE0E3" w:sz="2" w:space="0"/>
              <w:bottom w:val="single" w:color="DEE0E3" w:sz="2" w:space="0"/>
              <w:right w:val="single" w:color="DEE0E3" w:sz="2" w:space="0"/>
            </w:tcBorders>
            <w:tcMar>
              <w:top w:w="60" w:type="dxa"/>
              <w:left w:w="120" w:type="dxa"/>
              <w:bottom w:w="30" w:type="dxa"/>
              <w:right w:w="120" w:type="dxa"/>
            </w:tcMar>
            <w:vAlign w:val="center"/>
          </w:tcPr>
          <w:p w14:paraId="34F20DB6">
            <w:pPr>
              <w:pStyle w:val="111"/>
              <w:widowControl w:val="0"/>
            </w:pPr>
            <w:r>
              <w:rPr>
                <w:rFonts w:hint="eastAsia"/>
              </w:rPr>
              <w:t>筏板基础</w:t>
            </w:r>
          </w:p>
        </w:tc>
        <w:tc>
          <w:tcPr>
            <w:tcW w:w="2633" w:type="dxa"/>
            <w:tcBorders>
              <w:top w:val="single" w:color="DEE0E3" w:sz="2" w:space="0"/>
              <w:left w:val="single" w:color="DEE0E3" w:sz="2" w:space="0"/>
              <w:bottom w:val="single" w:color="DEE0E3" w:sz="2" w:space="0"/>
              <w:right w:val="single" w:color="CBCDD1" w:sz="2" w:space="0"/>
            </w:tcBorders>
            <w:tcMar>
              <w:top w:w="60" w:type="dxa"/>
              <w:left w:w="120" w:type="dxa"/>
              <w:bottom w:w="30" w:type="dxa"/>
              <w:right w:w="120" w:type="dxa"/>
            </w:tcMar>
            <w:vAlign w:val="center"/>
          </w:tcPr>
          <w:p w14:paraId="2B781470">
            <w:pPr>
              <w:pStyle w:val="111"/>
              <w:widowControl w:val="0"/>
            </w:pPr>
            <w:r>
              <w:rPr>
                <w:rFonts w:hint="eastAsia"/>
              </w:rPr>
              <w:t>5</w:t>
            </w:r>
            <w:r>
              <w:t>.5m</w:t>
            </w:r>
          </w:p>
        </w:tc>
      </w:tr>
      <w:tr w14:paraId="52FEC3F8">
        <w:tblPrEx>
          <w:tblCellMar>
            <w:top w:w="15" w:type="dxa"/>
            <w:left w:w="15" w:type="dxa"/>
            <w:bottom w:w="15" w:type="dxa"/>
            <w:right w:w="15" w:type="dxa"/>
          </w:tblCellMar>
        </w:tblPrEx>
        <w:trPr>
          <w:trHeight w:val="405" w:hRule="atLeast"/>
          <w:jc w:val="center"/>
        </w:trPr>
        <w:tc>
          <w:tcPr>
            <w:tcW w:w="1840" w:type="dxa"/>
            <w:tcBorders>
              <w:top w:val="single" w:color="DEE0E3" w:sz="2" w:space="0"/>
              <w:left w:val="single" w:color="CBCDD1" w:sz="2" w:space="0"/>
              <w:bottom w:val="single" w:color="DEE0E3" w:sz="2" w:space="0"/>
              <w:right w:val="single" w:color="DEE0E3" w:sz="2" w:space="0"/>
            </w:tcBorders>
            <w:tcMar>
              <w:top w:w="60" w:type="dxa"/>
              <w:left w:w="120" w:type="dxa"/>
              <w:bottom w:w="30" w:type="dxa"/>
              <w:right w:w="120" w:type="dxa"/>
            </w:tcMar>
            <w:vAlign w:val="center"/>
          </w:tcPr>
          <w:p w14:paraId="3F5CC008">
            <w:pPr>
              <w:pStyle w:val="111"/>
              <w:widowControl w:val="0"/>
            </w:pPr>
            <w:r>
              <w:rPr>
                <w:rFonts w:hint="eastAsia"/>
              </w:rPr>
              <w:t>出水阀门井</w:t>
            </w:r>
          </w:p>
        </w:tc>
        <w:tc>
          <w:tcPr>
            <w:tcW w:w="2126" w:type="dxa"/>
            <w:tcBorders>
              <w:top w:val="single" w:color="DEE0E3" w:sz="2" w:space="0"/>
              <w:left w:val="single" w:color="DEE0E3" w:sz="2" w:space="0"/>
              <w:bottom w:val="single" w:color="DEE0E3" w:sz="2" w:space="0"/>
              <w:right w:val="single" w:color="DEE0E3" w:sz="2" w:space="0"/>
            </w:tcBorders>
            <w:tcMar>
              <w:top w:w="60" w:type="dxa"/>
              <w:left w:w="120" w:type="dxa"/>
              <w:bottom w:w="30" w:type="dxa"/>
              <w:right w:w="120" w:type="dxa"/>
            </w:tcMar>
            <w:vAlign w:val="center"/>
          </w:tcPr>
          <w:p w14:paraId="1FCFDDD7">
            <w:pPr>
              <w:pStyle w:val="111"/>
              <w:widowControl w:val="0"/>
            </w:pPr>
            <w:r>
              <w:rPr>
                <w:rFonts w:hint="eastAsia"/>
              </w:rPr>
              <w:t>3</w:t>
            </w:r>
            <w:r>
              <w:t>.5*4.0*2.0m</w:t>
            </w:r>
          </w:p>
        </w:tc>
        <w:tc>
          <w:tcPr>
            <w:tcW w:w="1701" w:type="dxa"/>
            <w:tcBorders>
              <w:top w:val="single" w:color="DEE0E3" w:sz="2" w:space="0"/>
              <w:left w:val="single" w:color="DEE0E3" w:sz="2" w:space="0"/>
              <w:bottom w:val="single" w:color="DEE0E3" w:sz="2" w:space="0"/>
              <w:right w:val="single" w:color="DEE0E3" w:sz="2" w:space="0"/>
            </w:tcBorders>
            <w:tcMar>
              <w:top w:w="60" w:type="dxa"/>
              <w:left w:w="120" w:type="dxa"/>
              <w:bottom w:w="30" w:type="dxa"/>
              <w:right w:w="120" w:type="dxa"/>
            </w:tcMar>
            <w:vAlign w:val="center"/>
          </w:tcPr>
          <w:p w14:paraId="1E5C132A">
            <w:pPr>
              <w:pStyle w:val="111"/>
              <w:widowControl w:val="0"/>
            </w:pPr>
            <w:r>
              <w:rPr>
                <w:rFonts w:hint="eastAsia"/>
              </w:rPr>
              <w:t>筏板基础</w:t>
            </w:r>
          </w:p>
        </w:tc>
        <w:tc>
          <w:tcPr>
            <w:tcW w:w="2633" w:type="dxa"/>
            <w:tcBorders>
              <w:top w:val="single" w:color="DEE0E3" w:sz="2" w:space="0"/>
              <w:left w:val="single" w:color="DEE0E3" w:sz="2" w:space="0"/>
              <w:bottom w:val="single" w:color="DEE0E3" w:sz="2" w:space="0"/>
              <w:right w:val="single" w:color="CBCDD1" w:sz="2" w:space="0"/>
            </w:tcBorders>
            <w:tcMar>
              <w:top w:w="60" w:type="dxa"/>
              <w:left w:w="120" w:type="dxa"/>
              <w:bottom w:w="30" w:type="dxa"/>
              <w:right w:w="120" w:type="dxa"/>
            </w:tcMar>
            <w:vAlign w:val="center"/>
          </w:tcPr>
          <w:p w14:paraId="7B4DC7C8">
            <w:pPr>
              <w:pStyle w:val="111"/>
              <w:widowControl w:val="0"/>
            </w:pPr>
            <w:r>
              <w:rPr>
                <w:rFonts w:hint="eastAsia"/>
              </w:rPr>
              <w:t>2</w:t>
            </w:r>
            <w:r>
              <w:t>.5m</w:t>
            </w:r>
          </w:p>
        </w:tc>
      </w:tr>
      <w:tr w14:paraId="6F4A8B31">
        <w:tblPrEx>
          <w:tblCellMar>
            <w:top w:w="15" w:type="dxa"/>
            <w:left w:w="15" w:type="dxa"/>
            <w:bottom w:w="15" w:type="dxa"/>
            <w:right w:w="15" w:type="dxa"/>
          </w:tblCellMar>
        </w:tblPrEx>
        <w:trPr>
          <w:trHeight w:val="405" w:hRule="atLeast"/>
          <w:jc w:val="center"/>
        </w:trPr>
        <w:tc>
          <w:tcPr>
            <w:tcW w:w="1840" w:type="dxa"/>
            <w:tcBorders>
              <w:top w:val="single" w:color="DEE0E3" w:sz="2" w:space="0"/>
              <w:left w:val="single" w:color="CBCDD1" w:sz="2" w:space="0"/>
              <w:bottom w:val="single" w:color="DEE0E3" w:sz="2" w:space="0"/>
              <w:right w:val="single" w:color="DEE0E3" w:sz="2" w:space="0"/>
            </w:tcBorders>
            <w:tcMar>
              <w:top w:w="60" w:type="dxa"/>
              <w:left w:w="120" w:type="dxa"/>
              <w:bottom w:w="30" w:type="dxa"/>
              <w:right w:w="120" w:type="dxa"/>
            </w:tcMar>
            <w:vAlign w:val="center"/>
          </w:tcPr>
          <w:p w14:paraId="7B03B492">
            <w:pPr>
              <w:pStyle w:val="111"/>
              <w:widowControl w:val="0"/>
              <w:rPr>
                <w:rFonts w:hint="eastAsia"/>
              </w:rPr>
            </w:pPr>
            <w:r>
              <w:rPr>
                <w:rFonts w:hint="eastAsia"/>
              </w:rPr>
              <w:t>取水口、出水口</w:t>
            </w:r>
          </w:p>
        </w:tc>
        <w:tc>
          <w:tcPr>
            <w:tcW w:w="2126" w:type="dxa"/>
            <w:tcBorders>
              <w:top w:val="single" w:color="DEE0E3" w:sz="2" w:space="0"/>
              <w:left w:val="single" w:color="DEE0E3" w:sz="2" w:space="0"/>
              <w:bottom w:val="single" w:color="DEE0E3" w:sz="2" w:space="0"/>
              <w:right w:val="single" w:color="DEE0E3" w:sz="2" w:space="0"/>
            </w:tcBorders>
            <w:tcMar>
              <w:top w:w="60" w:type="dxa"/>
              <w:left w:w="120" w:type="dxa"/>
              <w:bottom w:w="30" w:type="dxa"/>
              <w:right w:w="120" w:type="dxa"/>
            </w:tcMar>
            <w:vAlign w:val="center"/>
          </w:tcPr>
          <w:p w14:paraId="6C5388EB">
            <w:pPr>
              <w:pStyle w:val="111"/>
              <w:widowControl w:val="0"/>
              <w:rPr>
                <w:rFonts w:hint="eastAsia"/>
              </w:rPr>
            </w:pPr>
            <w:r>
              <w:t>2.85*2.3*1.25</w:t>
            </w:r>
          </w:p>
        </w:tc>
        <w:tc>
          <w:tcPr>
            <w:tcW w:w="1701" w:type="dxa"/>
            <w:tcBorders>
              <w:top w:val="single" w:color="DEE0E3" w:sz="2" w:space="0"/>
              <w:left w:val="single" w:color="DEE0E3" w:sz="2" w:space="0"/>
              <w:bottom w:val="single" w:color="DEE0E3" w:sz="2" w:space="0"/>
              <w:right w:val="single" w:color="DEE0E3" w:sz="2" w:space="0"/>
            </w:tcBorders>
            <w:tcMar>
              <w:top w:w="60" w:type="dxa"/>
              <w:left w:w="120" w:type="dxa"/>
              <w:bottom w:w="30" w:type="dxa"/>
              <w:right w:w="120" w:type="dxa"/>
            </w:tcMar>
            <w:vAlign w:val="center"/>
          </w:tcPr>
          <w:p w14:paraId="133A6605">
            <w:pPr>
              <w:pStyle w:val="111"/>
              <w:widowControl w:val="0"/>
              <w:rPr>
                <w:rFonts w:hint="eastAsia"/>
              </w:rPr>
            </w:pPr>
            <w:r>
              <w:rPr>
                <w:rFonts w:hint="eastAsia"/>
              </w:rPr>
              <w:t>筏板基础</w:t>
            </w:r>
          </w:p>
        </w:tc>
        <w:tc>
          <w:tcPr>
            <w:tcW w:w="2633" w:type="dxa"/>
            <w:tcBorders>
              <w:top w:val="single" w:color="DEE0E3" w:sz="2" w:space="0"/>
              <w:left w:val="single" w:color="DEE0E3" w:sz="2" w:space="0"/>
              <w:bottom w:val="single" w:color="DEE0E3" w:sz="2" w:space="0"/>
              <w:right w:val="single" w:color="CBCDD1" w:sz="2" w:space="0"/>
            </w:tcBorders>
            <w:tcMar>
              <w:top w:w="60" w:type="dxa"/>
              <w:left w:w="120" w:type="dxa"/>
              <w:bottom w:w="30" w:type="dxa"/>
              <w:right w:w="120" w:type="dxa"/>
            </w:tcMar>
            <w:vAlign w:val="center"/>
          </w:tcPr>
          <w:p w14:paraId="5312D423">
            <w:pPr>
              <w:pStyle w:val="111"/>
              <w:widowControl w:val="0"/>
              <w:rPr>
                <w:rFonts w:hint="eastAsia"/>
              </w:rPr>
            </w:pPr>
            <w:r>
              <w:rPr>
                <w:rFonts w:hint="eastAsia"/>
              </w:rPr>
              <w:t>2</w:t>
            </w:r>
            <w:r>
              <w:t>.5m</w:t>
            </w:r>
          </w:p>
        </w:tc>
      </w:tr>
      <w:tr w14:paraId="5EB39DC2">
        <w:tblPrEx>
          <w:tblCellMar>
            <w:top w:w="15" w:type="dxa"/>
            <w:left w:w="15" w:type="dxa"/>
            <w:bottom w:w="15" w:type="dxa"/>
            <w:right w:w="15" w:type="dxa"/>
          </w:tblCellMar>
        </w:tblPrEx>
        <w:trPr>
          <w:trHeight w:val="405" w:hRule="atLeast"/>
          <w:jc w:val="center"/>
        </w:trPr>
        <w:tc>
          <w:tcPr>
            <w:tcW w:w="1840" w:type="dxa"/>
            <w:tcBorders>
              <w:top w:val="single" w:color="DEE0E3" w:sz="2" w:space="0"/>
              <w:left w:val="single" w:color="CBCDD1" w:sz="2" w:space="0"/>
              <w:bottom w:val="single" w:color="DEE0E3" w:sz="2" w:space="0"/>
              <w:right w:val="single" w:color="DEE0E3" w:sz="2" w:space="0"/>
            </w:tcBorders>
            <w:tcMar>
              <w:top w:w="60" w:type="dxa"/>
              <w:left w:w="120" w:type="dxa"/>
              <w:bottom w:w="30" w:type="dxa"/>
              <w:right w:w="120" w:type="dxa"/>
            </w:tcMar>
            <w:vAlign w:val="center"/>
          </w:tcPr>
          <w:p w14:paraId="015BD590">
            <w:pPr>
              <w:pStyle w:val="111"/>
              <w:widowControl w:val="0"/>
              <w:rPr>
                <w:rFonts w:hint="eastAsia"/>
              </w:rPr>
            </w:pPr>
            <w:r>
              <w:rPr>
                <w:rFonts w:hint="eastAsia"/>
              </w:rPr>
              <w:t>出水涵闸</w:t>
            </w:r>
          </w:p>
        </w:tc>
        <w:tc>
          <w:tcPr>
            <w:tcW w:w="2126" w:type="dxa"/>
            <w:tcBorders>
              <w:top w:val="single" w:color="DEE0E3" w:sz="2" w:space="0"/>
              <w:left w:val="single" w:color="DEE0E3" w:sz="2" w:space="0"/>
              <w:bottom w:val="single" w:color="DEE0E3" w:sz="2" w:space="0"/>
              <w:right w:val="single" w:color="DEE0E3" w:sz="2" w:space="0"/>
            </w:tcBorders>
            <w:tcMar>
              <w:top w:w="60" w:type="dxa"/>
              <w:left w:w="120" w:type="dxa"/>
              <w:bottom w:w="30" w:type="dxa"/>
              <w:right w:w="120" w:type="dxa"/>
            </w:tcMar>
            <w:vAlign w:val="center"/>
          </w:tcPr>
          <w:p w14:paraId="197FA7D9">
            <w:pPr>
              <w:pStyle w:val="111"/>
              <w:widowControl w:val="0"/>
              <w:rPr>
                <w:rFonts w:hint="eastAsia"/>
              </w:rPr>
            </w:pPr>
            <w:r>
              <w:rPr>
                <w:rFonts w:hint="eastAsia"/>
              </w:rPr>
              <w:t>5</w:t>
            </w:r>
            <w:r>
              <w:t>.0*3.0*3.0m</w:t>
            </w:r>
          </w:p>
        </w:tc>
        <w:tc>
          <w:tcPr>
            <w:tcW w:w="1701" w:type="dxa"/>
            <w:tcBorders>
              <w:top w:val="single" w:color="DEE0E3" w:sz="2" w:space="0"/>
              <w:left w:val="single" w:color="DEE0E3" w:sz="2" w:space="0"/>
              <w:bottom w:val="single" w:color="DEE0E3" w:sz="2" w:space="0"/>
              <w:right w:val="single" w:color="DEE0E3" w:sz="2" w:space="0"/>
            </w:tcBorders>
            <w:tcMar>
              <w:top w:w="60" w:type="dxa"/>
              <w:left w:w="120" w:type="dxa"/>
              <w:bottom w:w="30" w:type="dxa"/>
              <w:right w:w="120" w:type="dxa"/>
            </w:tcMar>
            <w:vAlign w:val="center"/>
          </w:tcPr>
          <w:p w14:paraId="6C92B68E">
            <w:pPr>
              <w:pStyle w:val="111"/>
              <w:widowControl w:val="0"/>
              <w:rPr>
                <w:rFonts w:hint="eastAsia"/>
              </w:rPr>
            </w:pPr>
            <w:r>
              <w:rPr>
                <w:rFonts w:hint="eastAsia"/>
              </w:rPr>
              <w:t>筏板基础</w:t>
            </w:r>
          </w:p>
        </w:tc>
        <w:tc>
          <w:tcPr>
            <w:tcW w:w="2633" w:type="dxa"/>
            <w:tcBorders>
              <w:top w:val="single" w:color="DEE0E3" w:sz="2" w:space="0"/>
              <w:left w:val="single" w:color="DEE0E3" w:sz="2" w:space="0"/>
              <w:bottom w:val="single" w:color="DEE0E3" w:sz="2" w:space="0"/>
              <w:right w:val="single" w:color="CBCDD1" w:sz="2" w:space="0"/>
            </w:tcBorders>
            <w:tcMar>
              <w:top w:w="60" w:type="dxa"/>
              <w:left w:w="120" w:type="dxa"/>
              <w:bottom w:w="30" w:type="dxa"/>
              <w:right w:w="120" w:type="dxa"/>
            </w:tcMar>
            <w:vAlign w:val="center"/>
          </w:tcPr>
          <w:p w14:paraId="4156C7CA">
            <w:pPr>
              <w:pStyle w:val="111"/>
              <w:widowControl w:val="0"/>
              <w:rPr>
                <w:rFonts w:hint="eastAsia"/>
              </w:rPr>
            </w:pPr>
            <w:r>
              <w:rPr>
                <w:rFonts w:hint="eastAsia"/>
              </w:rPr>
              <w:t>3m</w:t>
            </w:r>
          </w:p>
        </w:tc>
      </w:tr>
      <w:tr w14:paraId="308B6275">
        <w:tblPrEx>
          <w:tblCellMar>
            <w:top w:w="15" w:type="dxa"/>
            <w:left w:w="15" w:type="dxa"/>
            <w:bottom w:w="15" w:type="dxa"/>
            <w:right w:w="15" w:type="dxa"/>
          </w:tblCellMar>
        </w:tblPrEx>
        <w:trPr>
          <w:trHeight w:val="405" w:hRule="atLeast"/>
          <w:jc w:val="center"/>
        </w:trPr>
        <w:tc>
          <w:tcPr>
            <w:tcW w:w="1840" w:type="dxa"/>
            <w:tcBorders>
              <w:top w:val="single" w:color="DEE0E3" w:sz="2" w:space="0"/>
              <w:left w:val="single" w:color="CBCDD1" w:sz="2" w:space="0"/>
              <w:bottom w:val="single" w:color="CBCDD1" w:sz="2" w:space="0"/>
              <w:right w:val="single" w:color="DEE0E3" w:sz="2" w:space="0"/>
            </w:tcBorders>
            <w:tcMar>
              <w:top w:w="60" w:type="dxa"/>
              <w:left w:w="120" w:type="dxa"/>
              <w:bottom w:w="30" w:type="dxa"/>
              <w:right w:w="120" w:type="dxa"/>
            </w:tcMar>
            <w:vAlign w:val="center"/>
          </w:tcPr>
          <w:p w14:paraId="531EB70F">
            <w:pPr>
              <w:pStyle w:val="111"/>
              <w:widowControl w:val="0"/>
              <w:rPr>
                <w:rFonts w:hint="eastAsia"/>
              </w:rPr>
            </w:pPr>
            <w:r>
              <w:rPr>
                <w:rFonts w:hint="eastAsia"/>
              </w:rPr>
              <w:t>排口湿地</w:t>
            </w:r>
          </w:p>
        </w:tc>
        <w:tc>
          <w:tcPr>
            <w:tcW w:w="2126" w:type="dxa"/>
            <w:tcBorders>
              <w:top w:val="single" w:color="DEE0E3" w:sz="2" w:space="0"/>
              <w:left w:val="single" w:color="DEE0E3" w:sz="2" w:space="0"/>
              <w:bottom w:val="single" w:color="CBCDD1" w:sz="2" w:space="0"/>
              <w:right w:val="single" w:color="DEE0E3" w:sz="2" w:space="0"/>
            </w:tcBorders>
            <w:tcMar>
              <w:top w:w="60" w:type="dxa"/>
              <w:left w:w="120" w:type="dxa"/>
              <w:bottom w:w="30" w:type="dxa"/>
              <w:right w:w="120" w:type="dxa"/>
            </w:tcMar>
            <w:vAlign w:val="center"/>
          </w:tcPr>
          <w:p w14:paraId="4A477AB0">
            <w:pPr>
              <w:pStyle w:val="111"/>
              <w:widowControl w:val="0"/>
              <w:rPr>
                <w:rFonts w:hint="eastAsia"/>
              </w:rPr>
            </w:pPr>
            <w:r>
              <w:rPr>
                <w:rFonts w:hint="eastAsia"/>
              </w:rPr>
              <w:t>具体详平面图</w:t>
            </w:r>
          </w:p>
        </w:tc>
        <w:tc>
          <w:tcPr>
            <w:tcW w:w="1701" w:type="dxa"/>
            <w:tcBorders>
              <w:top w:val="single" w:color="DEE0E3" w:sz="2" w:space="0"/>
              <w:left w:val="single" w:color="DEE0E3" w:sz="2" w:space="0"/>
              <w:bottom w:val="single" w:color="CBCDD1" w:sz="2" w:space="0"/>
              <w:right w:val="single" w:color="DEE0E3" w:sz="2" w:space="0"/>
            </w:tcBorders>
            <w:tcMar>
              <w:top w:w="60" w:type="dxa"/>
              <w:left w:w="120" w:type="dxa"/>
              <w:bottom w:w="30" w:type="dxa"/>
              <w:right w:w="120" w:type="dxa"/>
            </w:tcMar>
            <w:vAlign w:val="center"/>
          </w:tcPr>
          <w:p w14:paraId="49ECD7A1">
            <w:pPr>
              <w:pStyle w:val="111"/>
              <w:widowControl w:val="0"/>
              <w:rPr>
                <w:rFonts w:hint="eastAsia"/>
              </w:rPr>
            </w:pPr>
            <w:r>
              <w:rPr>
                <w:rFonts w:hint="eastAsia"/>
              </w:rPr>
              <w:t>木桩支护</w:t>
            </w:r>
          </w:p>
        </w:tc>
        <w:tc>
          <w:tcPr>
            <w:tcW w:w="2633" w:type="dxa"/>
            <w:tcBorders>
              <w:top w:val="single" w:color="DEE0E3" w:sz="2" w:space="0"/>
              <w:left w:val="single" w:color="DEE0E3" w:sz="2" w:space="0"/>
              <w:bottom w:val="single" w:color="CBCDD1" w:sz="2" w:space="0"/>
              <w:right w:val="single" w:color="CBCDD1" w:sz="2" w:space="0"/>
            </w:tcBorders>
            <w:tcMar>
              <w:top w:w="60" w:type="dxa"/>
              <w:left w:w="120" w:type="dxa"/>
              <w:bottom w:w="30" w:type="dxa"/>
              <w:right w:w="120" w:type="dxa"/>
            </w:tcMar>
            <w:vAlign w:val="center"/>
          </w:tcPr>
          <w:p w14:paraId="393313A8">
            <w:pPr>
              <w:pStyle w:val="111"/>
              <w:widowControl w:val="0"/>
              <w:rPr>
                <w:rFonts w:hint="eastAsia"/>
              </w:rPr>
            </w:pPr>
            <w:r>
              <w:rPr>
                <w:rFonts w:hint="eastAsia"/>
              </w:rPr>
              <w:t>5m</w:t>
            </w:r>
          </w:p>
        </w:tc>
      </w:tr>
    </w:tbl>
    <w:p w14:paraId="63605AC9">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sz w:val="24"/>
          <w:szCs w:val="24"/>
        </w:rPr>
      </w:pPr>
      <w:r>
        <w:rPr>
          <w:rFonts w:hint="eastAsia"/>
          <w:sz w:val="24"/>
          <w:szCs w:val="24"/>
        </w:rPr>
        <w:t>本项目拟建埋地管线如下：</w:t>
      </w:r>
    </w:p>
    <w:p w14:paraId="4879D707">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rPr>
      </w:pPr>
      <w:r>
        <w:rPr>
          <w:rFonts w:hint="eastAsia"/>
          <w:sz w:val="24"/>
          <w:szCs w:val="24"/>
        </w:rPr>
        <w:t>输水管线总长度1535m，冲洗管线总长度55m，球墨铸铁材质，埋深约1</w:t>
      </w:r>
      <w:r>
        <w:rPr>
          <w:sz w:val="24"/>
          <w:szCs w:val="24"/>
        </w:rPr>
        <w:t>.8m。</w:t>
      </w:r>
    </w:p>
    <w:p w14:paraId="55CAB06E">
      <w:pPr>
        <w:keepNext w:val="0"/>
        <w:keepLines w:val="0"/>
        <w:pageBreakBefore w:val="0"/>
        <w:widowControl/>
        <w:kinsoku/>
        <w:wordWrap/>
        <w:overflowPunct/>
        <w:topLinePunct w:val="0"/>
        <w:autoSpaceDE/>
        <w:autoSpaceDN/>
        <w:bidi w:val="0"/>
        <w:adjustRightInd/>
        <w:snapToGrid/>
        <w:spacing w:line="360" w:lineRule="auto"/>
        <w:jc w:val="both"/>
        <w:textAlignment w:val="auto"/>
        <w:rPr>
          <w:b/>
          <w:sz w:val="24"/>
          <w:szCs w:val="24"/>
        </w:rPr>
      </w:pPr>
      <w:r>
        <w:rPr>
          <w:rFonts w:hint="eastAsia"/>
          <w:b/>
          <w:sz w:val="24"/>
          <w:szCs w:val="24"/>
        </w:rPr>
        <w:t>2.勘察技术要求：</w:t>
      </w:r>
    </w:p>
    <w:p w14:paraId="46B0743F">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rPr>
      </w:pPr>
      <w:r>
        <w:rPr>
          <w:rFonts w:hint="eastAsia"/>
          <w:sz w:val="24"/>
          <w:szCs w:val="24"/>
        </w:rPr>
        <w:t>（1）查明场区内工程地质条件及各土层的物理力学性质指标；</w:t>
      </w:r>
    </w:p>
    <w:p w14:paraId="448F0BB6">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rPr>
      </w:pPr>
      <w:r>
        <w:rPr>
          <w:rFonts w:hint="eastAsia"/>
          <w:sz w:val="24"/>
          <w:szCs w:val="24"/>
        </w:rPr>
        <w:t>（2）查明场区内的水文地质条件及各土层的渗透系数Ｋ；</w:t>
      </w:r>
    </w:p>
    <w:p w14:paraId="16526D48">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rPr>
      </w:pPr>
      <w:r>
        <w:rPr>
          <w:rFonts w:hint="eastAsia"/>
          <w:sz w:val="24"/>
          <w:szCs w:val="24"/>
        </w:rPr>
        <w:t>（3）查明工程场地下水的类型、埋藏条件及水质情况，以及地下水（含承压水）补给关系；</w:t>
      </w:r>
    </w:p>
    <w:p w14:paraId="435DDAF6">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rPr>
      </w:pPr>
      <w:r>
        <w:rPr>
          <w:rFonts w:hint="eastAsia"/>
          <w:sz w:val="24"/>
          <w:szCs w:val="24"/>
        </w:rPr>
        <w:t>（4）准确判定地下水质和土质对工程建设结构和材料的影响和要求，并对工程构筑物的材料选择和使用提出建议，对防渗用黏土作出调查；</w:t>
      </w:r>
    </w:p>
    <w:p w14:paraId="42C5E1D5">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rPr>
      </w:pPr>
      <w:r>
        <w:rPr>
          <w:rFonts w:hint="eastAsia"/>
          <w:sz w:val="24"/>
          <w:szCs w:val="24"/>
        </w:rPr>
        <w:t>（5）查明场区内土层的液化可能性并作出评价，并对湿地池体开挖提出如何防止流砂和管涌的有效工程措施；</w:t>
      </w:r>
    </w:p>
    <w:p w14:paraId="30621B00">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rPr>
      </w:pPr>
      <w:r>
        <w:rPr>
          <w:rFonts w:hint="eastAsia"/>
          <w:sz w:val="24"/>
          <w:szCs w:val="24"/>
        </w:rPr>
        <w:t>（</w:t>
      </w:r>
      <w:r>
        <w:rPr>
          <w:sz w:val="24"/>
          <w:szCs w:val="24"/>
        </w:rPr>
        <w:t>6</w:t>
      </w:r>
      <w:r>
        <w:rPr>
          <w:rFonts w:hint="eastAsia"/>
          <w:sz w:val="24"/>
          <w:szCs w:val="24"/>
        </w:rPr>
        <w:t>）查明周边河道水位与区域水系流向及相互关系；</w:t>
      </w:r>
    </w:p>
    <w:p w14:paraId="7595C660">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rPr>
      </w:pPr>
      <w:r>
        <w:rPr>
          <w:rFonts w:hint="eastAsia"/>
          <w:sz w:val="24"/>
          <w:szCs w:val="24"/>
        </w:rPr>
        <w:t>（</w:t>
      </w:r>
      <w:r>
        <w:rPr>
          <w:sz w:val="24"/>
          <w:szCs w:val="24"/>
        </w:rPr>
        <w:t>7</w:t>
      </w:r>
      <w:r>
        <w:rPr>
          <w:rFonts w:hint="eastAsia"/>
          <w:sz w:val="24"/>
          <w:szCs w:val="24"/>
        </w:rPr>
        <w:t>）查明场址的场地类别和场地土类型；</w:t>
      </w:r>
    </w:p>
    <w:p w14:paraId="55DDD6EC">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rPr>
      </w:pPr>
      <w:r>
        <w:rPr>
          <w:rFonts w:hint="eastAsia"/>
          <w:sz w:val="24"/>
          <w:szCs w:val="24"/>
        </w:rPr>
        <w:t>（</w:t>
      </w:r>
      <w:r>
        <w:rPr>
          <w:sz w:val="24"/>
          <w:szCs w:val="24"/>
        </w:rPr>
        <w:t>8</w:t>
      </w:r>
      <w:r>
        <w:rPr>
          <w:rFonts w:hint="eastAsia"/>
          <w:sz w:val="24"/>
          <w:szCs w:val="24"/>
        </w:rPr>
        <w:t>）对场地土震陷作出评价；</w:t>
      </w:r>
    </w:p>
    <w:p w14:paraId="1D3397F4">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rPr>
      </w:pPr>
      <w:r>
        <w:rPr>
          <w:rFonts w:hint="eastAsia"/>
          <w:sz w:val="24"/>
          <w:szCs w:val="24"/>
        </w:rPr>
        <w:t>（</w:t>
      </w:r>
      <w:r>
        <w:rPr>
          <w:sz w:val="24"/>
          <w:szCs w:val="24"/>
        </w:rPr>
        <w:t>9</w:t>
      </w:r>
      <w:r>
        <w:rPr>
          <w:rFonts w:hint="eastAsia"/>
          <w:sz w:val="24"/>
          <w:szCs w:val="24"/>
        </w:rPr>
        <w:t>）对场地的邻近水源地保护及环保要求；</w:t>
      </w:r>
    </w:p>
    <w:p w14:paraId="3C6C712A">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rPr>
      </w:pPr>
      <w:r>
        <w:rPr>
          <w:rFonts w:hint="eastAsia"/>
          <w:sz w:val="24"/>
          <w:szCs w:val="24"/>
        </w:rPr>
        <w:t>（</w:t>
      </w:r>
      <w:r>
        <w:rPr>
          <w:sz w:val="24"/>
          <w:szCs w:val="24"/>
        </w:rPr>
        <w:t>10</w:t>
      </w:r>
      <w:r>
        <w:rPr>
          <w:rFonts w:hint="eastAsia"/>
          <w:sz w:val="24"/>
          <w:szCs w:val="24"/>
        </w:rPr>
        <w:t>）对场地的工程地质情况作出评价；</w:t>
      </w:r>
    </w:p>
    <w:p w14:paraId="220A31F5">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rPr>
      </w:pPr>
      <w:r>
        <w:rPr>
          <w:rFonts w:hint="eastAsia"/>
          <w:sz w:val="24"/>
          <w:szCs w:val="24"/>
        </w:rPr>
        <w:t>（</w:t>
      </w:r>
      <w:r>
        <w:rPr>
          <w:sz w:val="24"/>
          <w:szCs w:val="24"/>
        </w:rPr>
        <w:t>11</w:t>
      </w:r>
      <w:r>
        <w:rPr>
          <w:rFonts w:hint="eastAsia"/>
          <w:sz w:val="24"/>
          <w:szCs w:val="24"/>
        </w:rPr>
        <w:t>）预测地表水变化对工程影响；</w:t>
      </w:r>
    </w:p>
    <w:p w14:paraId="0C5D456E">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sz w:val="24"/>
          <w:szCs w:val="24"/>
        </w:rPr>
      </w:pPr>
      <w:r>
        <w:rPr>
          <w:rFonts w:hint="eastAsia"/>
          <w:sz w:val="24"/>
          <w:szCs w:val="24"/>
        </w:rPr>
        <w:t>（</w:t>
      </w:r>
      <w:r>
        <w:rPr>
          <w:sz w:val="24"/>
          <w:szCs w:val="24"/>
        </w:rPr>
        <w:t>12</w:t>
      </w:r>
      <w:r>
        <w:rPr>
          <w:rFonts w:hint="eastAsia"/>
          <w:sz w:val="24"/>
          <w:szCs w:val="24"/>
        </w:rPr>
        <w:t>）详细勘察应对可能失稳的边坡及相邻地段进行工程地质测绘、勘探、试验、观测和分析计算，做出稳定性评价，对人工边坡提出最优先开挖坡角；对可能失稳的边坡提出防护处理措施的建议。</w:t>
      </w:r>
    </w:p>
    <w:p w14:paraId="18DEED93">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sz w:val="24"/>
          <w:szCs w:val="24"/>
        </w:rPr>
      </w:pPr>
      <w:r>
        <w:rPr>
          <w:rFonts w:hint="eastAsia"/>
          <w:sz w:val="24"/>
          <w:szCs w:val="24"/>
        </w:rPr>
        <w:t>（1</w:t>
      </w:r>
      <w:r>
        <w:rPr>
          <w:sz w:val="24"/>
          <w:szCs w:val="24"/>
        </w:rPr>
        <w:t>3</w:t>
      </w:r>
      <w:r>
        <w:rPr>
          <w:rFonts w:hint="eastAsia"/>
          <w:sz w:val="24"/>
          <w:szCs w:val="24"/>
        </w:rPr>
        <w:t>）其余未尽事宜参照《岩土工程勘察规范》（GB50021-2001）。</w:t>
      </w:r>
    </w:p>
    <w:p w14:paraId="4FCB4AB1">
      <w:pPr>
        <w:keepNext w:val="0"/>
        <w:keepLines w:val="0"/>
        <w:pageBreakBefore w:val="0"/>
        <w:widowControl/>
        <w:kinsoku/>
        <w:wordWrap/>
        <w:overflowPunct/>
        <w:topLinePunct w:val="0"/>
        <w:autoSpaceDE/>
        <w:autoSpaceDN/>
        <w:bidi w:val="0"/>
        <w:adjustRightInd/>
        <w:snapToGrid/>
        <w:spacing w:line="360" w:lineRule="auto"/>
        <w:jc w:val="both"/>
        <w:textAlignment w:val="auto"/>
        <w:rPr>
          <w:b/>
          <w:bCs/>
          <w:sz w:val="24"/>
          <w:szCs w:val="24"/>
        </w:rPr>
      </w:pPr>
      <w:r>
        <w:rPr>
          <w:rFonts w:hint="eastAsia"/>
          <w:b/>
          <w:bCs/>
          <w:sz w:val="24"/>
          <w:szCs w:val="24"/>
        </w:rPr>
        <w:t>3.要求提交勘察资料内容</w:t>
      </w:r>
    </w:p>
    <w:p w14:paraId="3098B4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sz w:val="24"/>
          <w:szCs w:val="24"/>
        </w:rPr>
      </w:pPr>
      <w:r>
        <w:rPr>
          <w:rFonts w:hint="default" w:ascii="Times New Roman" w:hAnsi="Times New Roman" w:eastAsia="宋体" w:cs="Times New Roman"/>
          <w:sz w:val="24"/>
          <w:szCs w:val="24"/>
          <w:lang w:val="en-US" w:eastAsia="zh-CN" w:bidi="ar-SA"/>
        </w:rPr>
        <w:t>(1)</w:t>
      </w:r>
      <w:r>
        <w:rPr>
          <w:rFonts w:hint="eastAsia"/>
          <w:sz w:val="24"/>
          <w:szCs w:val="24"/>
        </w:rPr>
        <w:t>提供岩土层物理力学业性质主要指标及基础设计参数。</w:t>
      </w:r>
    </w:p>
    <w:p w14:paraId="221A52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sz w:val="24"/>
          <w:szCs w:val="24"/>
        </w:rPr>
      </w:pPr>
      <w:r>
        <w:rPr>
          <w:rFonts w:hint="default" w:ascii="Times New Roman" w:hAnsi="Times New Roman" w:eastAsia="宋体" w:cs="Times New Roman"/>
          <w:sz w:val="24"/>
          <w:szCs w:val="24"/>
          <w:lang w:val="en-US" w:eastAsia="zh-CN" w:bidi="ar-SA"/>
        </w:rPr>
        <w:t>(2)</w:t>
      </w:r>
      <w:r>
        <w:rPr>
          <w:rFonts w:hint="eastAsia"/>
          <w:sz w:val="24"/>
          <w:szCs w:val="24"/>
        </w:rPr>
        <w:t>提供钻孔地质柱状图及工程地质剖面图。</w:t>
      </w:r>
    </w:p>
    <w:p w14:paraId="6B7704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sz w:val="24"/>
          <w:szCs w:val="24"/>
        </w:rPr>
      </w:pPr>
      <w:r>
        <w:rPr>
          <w:rFonts w:hint="default" w:ascii="Times New Roman" w:hAnsi="Times New Roman" w:eastAsia="宋体" w:cs="Times New Roman"/>
          <w:sz w:val="24"/>
          <w:szCs w:val="24"/>
          <w:lang w:val="en-US" w:eastAsia="zh-CN" w:bidi="ar-SA"/>
        </w:rPr>
        <w:t>(3)</w:t>
      </w:r>
      <w:r>
        <w:rPr>
          <w:rFonts w:hint="eastAsia"/>
          <w:sz w:val="24"/>
          <w:szCs w:val="24"/>
        </w:rPr>
        <w:t>提供土工试验成果表，原位测试成果表，水质分析报告表及其它测试成果报告或成果表。</w:t>
      </w:r>
    </w:p>
    <w:p w14:paraId="74E3D5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sz w:val="24"/>
          <w:szCs w:val="24"/>
        </w:rPr>
      </w:pPr>
      <w:r>
        <w:rPr>
          <w:rFonts w:hint="default" w:ascii="Times New Roman" w:hAnsi="Times New Roman" w:eastAsia="宋体" w:cs="Times New Roman"/>
          <w:sz w:val="24"/>
          <w:szCs w:val="24"/>
          <w:lang w:val="en-US" w:eastAsia="zh-CN" w:bidi="ar-SA"/>
        </w:rPr>
        <w:t>(4)</w:t>
      </w:r>
      <w:r>
        <w:rPr>
          <w:rFonts w:hint="eastAsia"/>
          <w:sz w:val="24"/>
          <w:szCs w:val="24"/>
        </w:rPr>
        <w:t>提供有关指标统计表。地基承载力按现行规范提供特征值。</w:t>
      </w:r>
    </w:p>
    <w:p w14:paraId="33DBE6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sz w:val="24"/>
          <w:szCs w:val="24"/>
        </w:rPr>
      </w:pPr>
      <w:r>
        <w:rPr>
          <w:rFonts w:hint="default" w:ascii="Times New Roman" w:hAnsi="Times New Roman" w:eastAsia="宋体" w:cs="Times New Roman"/>
          <w:sz w:val="24"/>
          <w:szCs w:val="24"/>
          <w:lang w:val="en-US" w:eastAsia="zh-CN" w:bidi="ar-SA"/>
        </w:rPr>
        <w:t>(5)</w:t>
      </w:r>
      <w:r>
        <w:rPr>
          <w:rFonts w:hint="eastAsia"/>
          <w:sz w:val="24"/>
          <w:szCs w:val="24"/>
        </w:rPr>
        <w:t>提供抗浮设计水位及常年地下水位；</w:t>
      </w:r>
    </w:p>
    <w:p w14:paraId="597621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sz w:val="24"/>
          <w:szCs w:val="24"/>
        </w:rPr>
      </w:pPr>
      <w:r>
        <w:rPr>
          <w:rFonts w:hint="default" w:ascii="Times New Roman" w:hAnsi="Times New Roman" w:eastAsia="宋体" w:cs="Times New Roman"/>
          <w:sz w:val="24"/>
          <w:szCs w:val="24"/>
          <w:lang w:val="en-US" w:eastAsia="zh-CN" w:bidi="ar-SA"/>
        </w:rPr>
        <w:t>(6)</w:t>
      </w:r>
      <w:r>
        <w:rPr>
          <w:rFonts w:hint="eastAsia"/>
          <w:sz w:val="24"/>
          <w:szCs w:val="24"/>
        </w:rPr>
        <w:t>提供周边环境的不利影响分析。</w:t>
      </w:r>
    </w:p>
    <w:p w14:paraId="2336DC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sz w:val="24"/>
          <w:szCs w:val="24"/>
        </w:rPr>
      </w:pPr>
      <w:r>
        <w:rPr>
          <w:rFonts w:hint="default" w:ascii="Times New Roman" w:hAnsi="Times New Roman" w:eastAsia="宋体" w:cs="Times New Roman"/>
          <w:sz w:val="24"/>
          <w:szCs w:val="24"/>
          <w:lang w:val="en-US" w:eastAsia="zh-CN" w:bidi="ar-SA"/>
        </w:rPr>
        <w:t>(7)</w:t>
      </w:r>
      <w:r>
        <w:rPr>
          <w:rFonts w:hint="eastAsia"/>
          <w:sz w:val="24"/>
          <w:szCs w:val="24"/>
        </w:rPr>
        <w:t>提供勘察报告书。</w:t>
      </w:r>
    </w:p>
    <w:p w14:paraId="12319B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cs="宋体" w:eastAsiaTheme="minorEastAsia"/>
          <w:sz w:val="24"/>
          <w:szCs w:val="24"/>
        </w:rPr>
      </w:pPr>
      <w:r>
        <w:rPr>
          <w:rFonts w:hint="default" w:ascii="Times New Roman" w:hAnsi="Times New Roman" w:cs="宋体" w:eastAsiaTheme="minorEastAsia"/>
          <w:sz w:val="24"/>
          <w:szCs w:val="24"/>
          <w:lang w:val="en-US" w:eastAsia="zh-CN" w:bidi="ar-SA"/>
        </w:rPr>
        <w:t>(8)</w:t>
      </w:r>
      <w:r>
        <w:rPr>
          <w:rFonts w:hint="eastAsia"/>
          <w:sz w:val="24"/>
          <w:szCs w:val="24"/>
        </w:rPr>
        <w:t>其它按现行规范要求提交资料。</w:t>
      </w:r>
    </w:p>
    <w:p w14:paraId="314DA728">
      <w:pPr>
        <w:adjustRightInd w:val="0"/>
        <w:snapToGrid w:val="0"/>
        <w:spacing w:line="520" w:lineRule="exact"/>
        <w:ind w:firstLine="482" w:firstLineChars="200"/>
        <w:rPr>
          <w:rFonts w:cs="宋体" w:eastAsiaTheme="minorEastAsia"/>
          <w:b/>
          <w:sz w:val="24"/>
          <w:szCs w:val="24"/>
        </w:rPr>
      </w:pPr>
      <w:r>
        <w:rPr>
          <w:rFonts w:hint="eastAsia" w:cs="宋体" w:eastAsiaTheme="minorEastAsia"/>
          <w:b/>
          <w:sz w:val="24"/>
          <w:szCs w:val="24"/>
        </w:rPr>
        <w:t>二、报价说明</w:t>
      </w:r>
    </w:p>
    <w:p w14:paraId="0B12815A">
      <w:pPr>
        <w:adjustRightInd w:val="0"/>
        <w:snapToGrid w:val="0"/>
        <w:spacing w:line="520" w:lineRule="exact"/>
        <w:ind w:firstLine="482" w:firstLineChars="200"/>
        <w:rPr>
          <w:rFonts w:cs="宋体" w:eastAsiaTheme="minorEastAsia"/>
          <w:sz w:val="24"/>
          <w:szCs w:val="24"/>
        </w:rPr>
      </w:pPr>
      <w:r>
        <w:rPr>
          <w:rFonts w:hint="eastAsia" w:cs="宋体" w:eastAsiaTheme="minorEastAsia"/>
          <w:b/>
          <w:sz w:val="24"/>
          <w:szCs w:val="24"/>
        </w:rPr>
        <w:t>1. 报价为固定</w:t>
      </w:r>
      <w:r>
        <w:rPr>
          <w:rFonts w:hint="eastAsia" w:cs="宋体" w:eastAsiaTheme="minorEastAsia"/>
          <w:b/>
          <w:sz w:val="24"/>
          <w:szCs w:val="24"/>
          <w:lang w:val="en-US" w:eastAsia="zh-CN"/>
        </w:rPr>
        <w:t>总</w:t>
      </w:r>
      <w:r>
        <w:rPr>
          <w:rFonts w:hint="eastAsia" w:cs="宋体" w:eastAsiaTheme="minorEastAsia"/>
          <w:b/>
          <w:sz w:val="24"/>
          <w:szCs w:val="24"/>
        </w:rPr>
        <w:t>价，</w:t>
      </w:r>
      <w:r>
        <w:rPr>
          <w:rFonts w:hint="eastAsia" w:cs="宋体" w:eastAsiaTheme="minorEastAsia"/>
          <w:sz w:val="24"/>
          <w:szCs w:val="24"/>
        </w:rPr>
        <w:t>报价应是报价文件所确定的询价范围内的全部工作内容以及价格体现。包含但不限于为完成本项目勘察报告并通过政府审批而采取的必要的勘察手段、以及机械进退场、场平、局部挖土、土方短驳、临时道路修建、临水临电、青苗费等措施费均需考虑在报价内，不再另行计取。</w:t>
      </w:r>
    </w:p>
    <w:p w14:paraId="5FF908AC">
      <w:pPr>
        <w:adjustRightInd w:val="0"/>
        <w:snapToGrid w:val="0"/>
        <w:spacing w:line="520" w:lineRule="exact"/>
        <w:ind w:firstLine="482" w:firstLineChars="200"/>
        <w:rPr>
          <w:rFonts w:cs="宋体" w:eastAsiaTheme="minorEastAsia"/>
          <w:sz w:val="24"/>
          <w:szCs w:val="24"/>
        </w:rPr>
      </w:pPr>
      <w:r>
        <w:rPr>
          <w:rFonts w:hint="eastAsia" w:cs="宋体" w:eastAsiaTheme="minorEastAsia"/>
          <w:b/>
          <w:sz w:val="24"/>
          <w:szCs w:val="24"/>
        </w:rPr>
        <w:t>2. 报价人须自行承担编制与递交报价文件所涉及的一切费用。</w:t>
      </w:r>
      <w:r>
        <w:rPr>
          <w:rFonts w:hint="eastAsia" w:cs="宋体" w:eastAsiaTheme="minorEastAsia"/>
          <w:sz w:val="24"/>
          <w:szCs w:val="24"/>
        </w:rPr>
        <w:t>不管报价结果如何，询价人对上述费用不承担任何给付责任。</w:t>
      </w:r>
    </w:p>
    <w:p w14:paraId="6FCEAA6A">
      <w:pPr>
        <w:adjustRightInd w:val="0"/>
        <w:snapToGrid w:val="0"/>
        <w:spacing w:line="520" w:lineRule="exact"/>
        <w:ind w:firstLine="482" w:firstLineChars="200"/>
        <w:rPr>
          <w:rFonts w:cs="宋体" w:eastAsiaTheme="minorEastAsia"/>
          <w:sz w:val="24"/>
          <w:szCs w:val="24"/>
        </w:rPr>
      </w:pPr>
      <w:r>
        <w:rPr>
          <w:rFonts w:hint="eastAsia" w:cs="宋体" w:eastAsiaTheme="minorEastAsia"/>
          <w:b/>
          <w:sz w:val="24"/>
          <w:szCs w:val="24"/>
        </w:rPr>
        <w:t>3. 踏勘现场费用：</w:t>
      </w:r>
      <w:r>
        <w:rPr>
          <w:rFonts w:hint="eastAsia" w:cs="宋体" w:eastAsiaTheme="minorEastAsia"/>
          <w:sz w:val="24"/>
          <w:szCs w:val="24"/>
        </w:rPr>
        <w:t>报价人自行前往，认真核实现场，发生的一切费用自理。如报价人违反此规定由此造成自身人员和财产损失，以及由此给询价人造成任何损失，概由报价人承担。</w:t>
      </w:r>
    </w:p>
    <w:p w14:paraId="666C8EFB">
      <w:pPr>
        <w:adjustRightInd w:val="0"/>
        <w:snapToGrid w:val="0"/>
        <w:spacing w:line="520" w:lineRule="exact"/>
        <w:ind w:firstLine="480" w:firstLineChars="200"/>
        <w:rPr>
          <w:sz w:val="24"/>
          <w:szCs w:val="24"/>
        </w:rPr>
      </w:pPr>
      <w:r>
        <w:rPr>
          <w:rFonts w:hint="eastAsia" w:cs="宋体" w:eastAsiaTheme="minorEastAsia"/>
          <w:sz w:val="24"/>
          <w:szCs w:val="24"/>
        </w:rPr>
        <w:t>4. 其他未考虑的因素均视为报价单位优惠条件。</w:t>
      </w:r>
      <w:r>
        <w:rPr>
          <w:sz w:val="24"/>
          <w:szCs w:val="24"/>
        </w:rPr>
        <w:br w:type="page"/>
      </w:r>
    </w:p>
    <w:p w14:paraId="6DB6115E">
      <w:pPr>
        <w:spacing w:before="156" w:beforeLines="50" w:after="156" w:afterLines="50" w:line="400" w:lineRule="exact"/>
        <w:ind w:right="119"/>
        <w:jc w:val="center"/>
        <w:rPr>
          <w:b/>
          <w:snapToGrid w:val="0"/>
          <w:sz w:val="30"/>
          <w:szCs w:val="30"/>
        </w:rPr>
      </w:pPr>
      <w:r>
        <w:rPr>
          <w:rFonts w:hint="eastAsia"/>
          <w:b/>
          <w:snapToGrid w:val="0"/>
          <w:sz w:val="30"/>
          <w:szCs w:val="30"/>
        </w:rPr>
        <w:t>第三章  资格要求</w:t>
      </w:r>
    </w:p>
    <w:bookmarkEnd w:id="1"/>
    <w:p w14:paraId="7CC52959">
      <w:pPr>
        <w:adjustRightInd w:val="0"/>
        <w:snapToGrid w:val="0"/>
        <w:spacing w:line="520" w:lineRule="exact"/>
        <w:ind w:firstLine="480" w:firstLineChars="200"/>
        <w:rPr>
          <w:rFonts w:cs="宋体" w:eastAsiaTheme="minorEastAsia"/>
          <w:sz w:val="24"/>
          <w:szCs w:val="24"/>
        </w:rPr>
      </w:pPr>
      <w:bookmarkStart w:id="2" w:name="_Toc393830445"/>
      <w:bookmarkStart w:id="3" w:name="_Toc393810923"/>
      <w:r>
        <w:rPr>
          <w:rFonts w:hint="eastAsia" w:cs="宋体" w:eastAsiaTheme="minorEastAsia"/>
          <w:sz w:val="24"/>
          <w:szCs w:val="24"/>
        </w:rPr>
        <w:t>1. 具有中华人民共和国独立法人资格（持有有效的法人营业执照。</w:t>
      </w:r>
      <w:r>
        <w:rPr>
          <w:rFonts w:cs="宋体" w:eastAsiaTheme="minorEastAsia"/>
          <w:sz w:val="24"/>
          <w:szCs w:val="24"/>
        </w:rPr>
        <w:t>提供</w:t>
      </w:r>
      <w:r>
        <w:rPr>
          <w:rFonts w:hint="eastAsia" w:cs="宋体" w:eastAsiaTheme="minorEastAsia"/>
          <w:sz w:val="24"/>
          <w:szCs w:val="24"/>
        </w:rPr>
        <w:t>营业执照副本复印件并加盖公章</w:t>
      </w:r>
      <w:r>
        <w:rPr>
          <w:rFonts w:cs="宋体" w:eastAsiaTheme="minorEastAsia"/>
          <w:sz w:val="24"/>
          <w:szCs w:val="24"/>
        </w:rPr>
        <w:t>)</w:t>
      </w:r>
    </w:p>
    <w:p w14:paraId="32D0323F">
      <w:pPr>
        <w:adjustRightInd w:val="0"/>
        <w:snapToGrid w:val="0"/>
        <w:spacing w:line="520" w:lineRule="exact"/>
        <w:ind w:firstLine="480" w:firstLineChars="200"/>
        <w:rPr>
          <w:rFonts w:cs="宋体" w:eastAsiaTheme="minorEastAsia"/>
          <w:sz w:val="24"/>
          <w:szCs w:val="24"/>
        </w:rPr>
      </w:pPr>
      <w:r>
        <w:rPr>
          <w:rFonts w:hint="eastAsia" w:cs="宋体" w:eastAsiaTheme="minorEastAsia"/>
          <w:sz w:val="24"/>
          <w:szCs w:val="24"/>
        </w:rPr>
        <w:t>2. 资质要求：具备工程勘察综合甲级资质或具备工程勘察专业类（岩土工程）甲级及以上或具备岩土工程分项（岩土工程勘察）甲级及以上。</w:t>
      </w:r>
    </w:p>
    <w:p w14:paraId="7824588D">
      <w:pPr>
        <w:adjustRightInd w:val="0"/>
        <w:snapToGrid w:val="0"/>
        <w:spacing w:line="520" w:lineRule="exact"/>
        <w:ind w:firstLine="480" w:firstLineChars="200"/>
        <w:rPr>
          <w:rFonts w:cs="宋体" w:eastAsiaTheme="minorEastAsia"/>
          <w:sz w:val="24"/>
          <w:szCs w:val="24"/>
        </w:rPr>
      </w:pPr>
      <w:r>
        <w:rPr>
          <w:rFonts w:hint="eastAsia" w:cs="宋体" w:eastAsiaTheme="minorEastAsia"/>
          <w:sz w:val="24"/>
          <w:szCs w:val="24"/>
        </w:rPr>
        <w:t>资质证书或其它有效证明复印件（加盖公章）</w:t>
      </w:r>
    </w:p>
    <w:p w14:paraId="256605DF">
      <w:pPr>
        <w:spacing w:line="360" w:lineRule="auto"/>
        <w:rPr>
          <w:spacing w:val="26"/>
          <w:kern w:val="15"/>
          <w:sz w:val="24"/>
          <w:szCs w:val="24"/>
        </w:rPr>
      </w:pPr>
    </w:p>
    <w:p w14:paraId="55FBFE2C">
      <w:pPr>
        <w:spacing w:before="156" w:beforeLines="50" w:after="156" w:afterLines="50"/>
        <w:jc w:val="center"/>
        <w:rPr>
          <w:b/>
          <w:snapToGrid w:val="0"/>
          <w:sz w:val="36"/>
          <w:szCs w:val="36"/>
        </w:rPr>
      </w:pPr>
      <w:r>
        <w:rPr>
          <w:b/>
          <w:snapToGrid w:val="0"/>
          <w:sz w:val="36"/>
          <w:szCs w:val="36"/>
        </w:rPr>
        <w:br w:type="page"/>
      </w:r>
    </w:p>
    <w:p w14:paraId="3F52C6BC">
      <w:pPr>
        <w:spacing w:before="156" w:beforeLines="50" w:after="156" w:afterLines="50" w:line="400" w:lineRule="exact"/>
        <w:ind w:right="119"/>
        <w:jc w:val="center"/>
        <w:rPr>
          <w:b/>
          <w:snapToGrid w:val="0"/>
          <w:sz w:val="30"/>
          <w:szCs w:val="30"/>
        </w:rPr>
      </w:pPr>
      <w:r>
        <w:rPr>
          <w:rFonts w:hint="eastAsia"/>
          <w:b/>
          <w:snapToGrid w:val="0"/>
          <w:sz w:val="30"/>
          <w:szCs w:val="30"/>
        </w:rPr>
        <w:t xml:space="preserve">第四章  </w:t>
      </w:r>
      <w:r>
        <w:rPr>
          <w:rFonts w:hint="eastAsia"/>
          <w:b/>
          <w:snapToGrid w:val="0"/>
          <w:sz w:val="30"/>
          <w:szCs w:val="30"/>
          <w:lang w:eastAsia="zh-CN"/>
        </w:rPr>
        <w:t>询价</w:t>
      </w:r>
      <w:r>
        <w:rPr>
          <w:rFonts w:hint="eastAsia"/>
          <w:b/>
          <w:snapToGrid w:val="0"/>
          <w:sz w:val="30"/>
          <w:szCs w:val="30"/>
        </w:rPr>
        <w:t>方法</w:t>
      </w:r>
    </w:p>
    <w:p w14:paraId="659EF196">
      <w:pPr>
        <w:adjustRightInd w:val="0"/>
        <w:snapToGrid w:val="0"/>
        <w:spacing w:line="520" w:lineRule="exact"/>
        <w:ind w:firstLine="480" w:firstLineChars="200"/>
        <w:rPr>
          <w:rFonts w:cs="宋体" w:eastAsiaTheme="minorEastAsia"/>
          <w:sz w:val="24"/>
          <w:szCs w:val="24"/>
        </w:rPr>
      </w:pPr>
      <w:r>
        <w:rPr>
          <w:rFonts w:hint="eastAsia" w:cs="宋体" w:eastAsiaTheme="minorEastAsia"/>
          <w:sz w:val="24"/>
          <w:szCs w:val="24"/>
        </w:rPr>
        <w:t>符合“第三章”资格要求且不超过最高限价及工期要求的供应商为合格供应商，根据合格供应商的不同报价情况，采用如下方法确定成交供应商：</w:t>
      </w:r>
    </w:p>
    <w:p w14:paraId="1DA6F8C9">
      <w:pPr>
        <w:adjustRightInd w:val="0"/>
        <w:snapToGrid w:val="0"/>
        <w:spacing w:line="520" w:lineRule="exact"/>
        <w:ind w:firstLine="480" w:firstLineChars="200"/>
        <w:rPr>
          <w:rFonts w:cs="宋体" w:eastAsiaTheme="minorEastAsia"/>
          <w:sz w:val="24"/>
          <w:szCs w:val="24"/>
        </w:rPr>
      </w:pPr>
      <w:r>
        <w:rPr>
          <w:rFonts w:hint="eastAsia" w:cs="宋体" w:eastAsiaTheme="minorEastAsia"/>
          <w:sz w:val="24"/>
          <w:szCs w:val="24"/>
        </w:rPr>
        <w:t>1. 所有合格供应商中有且只有一个最低报价，最低报价者为成交供应商；</w:t>
      </w:r>
    </w:p>
    <w:p w14:paraId="29A30313">
      <w:pPr>
        <w:adjustRightInd w:val="0"/>
        <w:snapToGrid w:val="0"/>
        <w:spacing w:line="520" w:lineRule="exact"/>
        <w:ind w:firstLine="480" w:firstLineChars="200"/>
        <w:rPr>
          <w:rFonts w:cs="宋体" w:eastAsiaTheme="minorEastAsia"/>
          <w:sz w:val="24"/>
          <w:szCs w:val="24"/>
        </w:rPr>
      </w:pPr>
      <w:r>
        <w:rPr>
          <w:rFonts w:hint="eastAsia" w:cs="宋体" w:eastAsiaTheme="minorEastAsia"/>
          <w:sz w:val="24"/>
          <w:szCs w:val="24"/>
        </w:rPr>
        <w:t>2. 所有合格供应商中有两个或两个以上最低报价或所有报价均相同，则选择工期低者为成交供应商；</w:t>
      </w:r>
    </w:p>
    <w:p w14:paraId="6DB9B163">
      <w:pPr>
        <w:adjustRightInd w:val="0"/>
        <w:snapToGrid w:val="0"/>
        <w:spacing w:line="520" w:lineRule="exact"/>
        <w:ind w:firstLine="480" w:firstLineChars="200"/>
        <w:rPr>
          <w:rFonts w:cs="宋体" w:eastAsiaTheme="minorEastAsia"/>
          <w:sz w:val="24"/>
          <w:szCs w:val="24"/>
        </w:rPr>
      </w:pPr>
      <w:r>
        <w:rPr>
          <w:rFonts w:hint="eastAsia" w:cs="宋体" w:eastAsiaTheme="minorEastAsia"/>
          <w:sz w:val="24"/>
          <w:szCs w:val="24"/>
        </w:rPr>
        <w:t>3. 所有合格供应商中有两个或两个以上最低报价或所有报价均相同，且工期仍相同，则由基建</w:t>
      </w:r>
      <w:r>
        <w:rPr>
          <w:rFonts w:hint="eastAsia" w:cs="宋体" w:eastAsiaTheme="minorEastAsia"/>
          <w:sz w:val="24"/>
          <w:szCs w:val="24"/>
          <w:lang w:val="en-US" w:eastAsia="zh-CN"/>
        </w:rPr>
        <w:t>后勤</w:t>
      </w:r>
      <w:r>
        <w:rPr>
          <w:rFonts w:hint="eastAsia" w:cs="宋体" w:eastAsiaTheme="minorEastAsia"/>
          <w:sz w:val="24"/>
          <w:szCs w:val="24"/>
        </w:rPr>
        <w:t>处研究确定成交供应商；</w:t>
      </w:r>
    </w:p>
    <w:p w14:paraId="07D719BB">
      <w:pPr>
        <w:adjustRightInd w:val="0"/>
        <w:snapToGrid w:val="0"/>
        <w:spacing w:line="520" w:lineRule="exact"/>
        <w:ind w:firstLine="480" w:firstLineChars="200"/>
        <w:rPr>
          <w:rFonts w:cs="宋体" w:eastAsiaTheme="minorEastAsia"/>
          <w:sz w:val="24"/>
          <w:szCs w:val="24"/>
        </w:rPr>
      </w:pPr>
      <w:r>
        <w:rPr>
          <w:rFonts w:hint="eastAsia" w:cs="宋体" w:eastAsiaTheme="minorEastAsia"/>
          <w:sz w:val="24"/>
          <w:szCs w:val="24"/>
        </w:rPr>
        <w:t>4. 如果合格供应商不足三家，则该次</w:t>
      </w:r>
      <w:r>
        <w:rPr>
          <w:rFonts w:hint="eastAsia" w:cs="宋体" w:eastAsiaTheme="minorEastAsia"/>
          <w:sz w:val="24"/>
          <w:szCs w:val="24"/>
          <w:lang w:eastAsia="zh-CN"/>
        </w:rPr>
        <w:t>询价</w:t>
      </w:r>
      <w:r>
        <w:rPr>
          <w:rFonts w:hint="eastAsia" w:cs="宋体" w:eastAsiaTheme="minorEastAsia"/>
          <w:sz w:val="24"/>
          <w:szCs w:val="24"/>
        </w:rPr>
        <w:t>作废，择期重新</w:t>
      </w:r>
      <w:r>
        <w:rPr>
          <w:rFonts w:hint="eastAsia" w:cs="宋体" w:eastAsiaTheme="minorEastAsia"/>
          <w:sz w:val="24"/>
          <w:szCs w:val="24"/>
          <w:lang w:eastAsia="zh-CN"/>
        </w:rPr>
        <w:t>询价</w:t>
      </w:r>
      <w:r>
        <w:rPr>
          <w:rFonts w:hint="eastAsia" w:cs="宋体" w:eastAsiaTheme="minorEastAsia"/>
          <w:sz w:val="24"/>
          <w:szCs w:val="24"/>
        </w:rPr>
        <w:t>。</w:t>
      </w:r>
    </w:p>
    <w:p w14:paraId="6202CAA9">
      <w:pPr>
        <w:spacing w:line="360" w:lineRule="auto"/>
        <w:ind w:firstLine="330"/>
        <w:rPr>
          <w:rFonts w:eastAsia="新宋体"/>
          <w:spacing w:val="26"/>
          <w:kern w:val="15"/>
          <w:sz w:val="24"/>
          <w:szCs w:val="24"/>
        </w:rPr>
      </w:pPr>
    </w:p>
    <w:p w14:paraId="2025AA49">
      <w:pPr>
        <w:ind w:right="70" w:rightChars="35"/>
        <w:jc w:val="center"/>
        <w:rPr>
          <w:rFonts w:eastAsia="新宋体"/>
          <w:spacing w:val="26"/>
          <w:kern w:val="15"/>
          <w:sz w:val="24"/>
          <w:szCs w:val="24"/>
        </w:rPr>
      </w:pPr>
      <w:r>
        <w:rPr>
          <w:rFonts w:eastAsia="新宋体"/>
          <w:spacing w:val="26"/>
          <w:kern w:val="15"/>
          <w:sz w:val="24"/>
          <w:szCs w:val="24"/>
        </w:rPr>
        <w:br w:type="page"/>
      </w:r>
    </w:p>
    <w:p w14:paraId="600273C8">
      <w:pPr>
        <w:spacing w:before="156" w:beforeLines="50" w:after="156" w:afterLines="50" w:line="400" w:lineRule="exact"/>
        <w:ind w:right="119"/>
        <w:jc w:val="center"/>
        <w:rPr>
          <w:b/>
          <w:snapToGrid w:val="0"/>
          <w:sz w:val="30"/>
          <w:szCs w:val="30"/>
        </w:rPr>
      </w:pPr>
      <w:r>
        <w:rPr>
          <w:rFonts w:hint="eastAsia"/>
          <w:b/>
          <w:snapToGrid w:val="0"/>
          <w:sz w:val="30"/>
          <w:szCs w:val="30"/>
        </w:rPr>
        <w:t>第五章  合同</w:t>
      </w:r>
    </w:p>
    <w:p w14:paraId="7FDC3F40">
      <w:pPr>
        <w:adjustRightInd w:val="0"/>
        <w:snapToGrid w:val="0"/>
        <w:rPr>
          <w:rFonts w:hint="eastAsia" w:ascii="宋体" w:hAnsi="宋体" w:eastAsia="宋体" w:cs="宋体"/>
          <w:b/>
          <w:color w:val="auto"/>
          <w:kern w:val="2"/>
          <w:sz w:val="52"/>
          <w:szCs w:val="52"/>
          <w:highlight w:val="none"/>
          <w:lang w:val="en-US"/>
        </w:rPr>
      </w:pPr>
    </w:p>
    <w:p w14:paraId="3F4EC98E">
      <w:pPr>
        <w:jc w:val="center"/>
        <w:rPr>
          <w:rFonts w:hint="eastAsia" w:ascii="宋体" w:hAnsi="宋体" w:eastAsia="宋体" w:cs="宋体"/>
          <w:sz w:val="48"/>
          <w:szCs w:val="48"/>
        </w:rPr>
      </w:pPr>
    </w:p>
    <w:p w14:paraId="6435E499">
      <w:pPr>
        <w:pStyle w:val="73"/>
        <w:spacing w:line="360" w:lineRule="auto"/>
        <w:ind w:left="420" w:firstLine="0" w:firstLineChars="0"/>
        <w:jc w:val="center"/>
        <w:rPr>
          <w:rFonts w:hint="eastAsia" w:ascii="宋体" w:hAnsi="宋体" w:eastAsia="宋体" w:cs="宋体"/>
          <w:bCs/>
          <w:color w:val="000000"/>
          <w:sz w:val="56"/>
          <w:szCs w:val="24"/>
          <w:highlight w:val="none"/>
        </w:rPr>
      </w:pPr>
    </w:p>
    <w:p w14:paraId="4E8C779B">
      <w:pPr>
        <w:pStyle w:val="73"/>
        <w:spacing w:line="360" w:lineRule="auto"/>
        <w:ind w:left="420" w:firstLine="0" w:firstLineChars="0"/>
        <w:jc w:val="center"/>
        <w:rPr>
          <w:rFonts w:hint="eastAsia" w:ascii="宋体" w:hAnsi="宋体" w:eastAsia="宋体" w:cs="宋体"/>
          <w:bCs/>
          <w:color w:val="000000"/>
          <w:sz w:val="56"/>
          <w:szCs w:val="24"/>
          <w:highlight w:val="none"/>
        </w:rPr>
      </w:pPr>
      <w:r>
        <w:rPr>
          <w:rFonts w:hint="eastAsia" w:ascii="宋体" w:hAnsi="宋体" w:eastAsia="宋体" w:cs="宋体"/>
          <w:bCs/>
          <w:color w:val="000000"/>
          <w:sz w:val="56"/>
          <w:szCs w:val="24"/>
          <w:highlight w:val="none"/>
        </w:rPr>
        <w:t>建设工程勘察合同</w:t>
      </w:r>
    </w:p>
    <w:p w14:paraId="41D7F25A">
      <w:pPr>
        <w:pStyle w:val="73"/>
        <w:spacing w:line="360" w:lineRule="auto"/>
        <w:ind w:left="420" w:firstLine="0" w:firstLineChars="0"/>
        <w:rPr>
          <w:rFonts w:hint="eastAsia" w:ascii="宋体" w:hAnsi="宋体" w:eastAsia="宋体" w:cs="宋体"/>
          <w:b/>
          <w:bCs/>
          <w:color w:val="000000"/>
          <w:sz w:val="28"/>
          <w:szCs w:val="24"/>
          <w:highlight w:val="none"/>
        </w:rPr>
      </w:pPr>
    </w:p>
    <w:p w14:paraId="5AB562B1">
      <w:pPr>
        <w:pStyle w:val="73"/>
        <w:spacing w:line="360" w:lineRule="auto"/>
        <w:ind w:left="420" w:firstLine="0" w:firstLineChars="0"/>
        <w:rPr>
          <w:rFonts w:hint="eastAsia" w:ascii="宋体" w:hAnsi="宋体" w:eastAsia="宋体" w:cs="宋体"/>
          <w:b/>
          <w:bCs/>
          <w:color w:val="000000"/>
          <w:sz w:val="28"/>
          <w:szCs w:val="24"/>
          <w:highlight w:val="none"/>
        </w:rPr>
      </w:pPr>
    </w:p>
    <w:p w14:paraId="3C9B2A2E">
      <w:pPr>
        <w:pStyle w:val="73"/>
        <w:spacing w:line="360" w:lineRule="auto"/>
        <w:ind w:left="420" w:firstLine="0" w:firstLineChars="0"/>
        <w:rPr>
          <w:rFonts w:hint="eastAsia" w:ascii="宋体" w:hAnsi="宋体" w:eastAsia="宋体" w:cs="宋体"/>
          <w:b/>
          <w:bCs/>
          <w:color w:val="000000"/>
          <w:sz w:val="28"/>
          <w:szCs w:val="24"/>
          <w:highlight w:val="none"/>
        </w:rPr>
      </w:pPr>
    </w:p>
    <w:p w14:paraId="653AB0AD">
      <w:pPr>
        <w:pStyle w:val="73"/>
        <w:spacing w:line="360" w:lineRule="auto"/>
        <w:ind w:left="420" w:firstLine="0" w:firstLineChars="0"/>
        <w:rPr>
          <w:rFonts w:hint="eastAsia" w:ascii="宋体" w:hAnsi="宋体" w:eastAsia="宋体" w:cs="宋体"/>
          <w:b/>
          <w:bCs/>
          <w:color w:val="000000"/>
          <w:sz w:val="28"/>
          <w:szCs w:val="24"/>
          <w:highlight w:val="none"/>
        </w:rPr>
      </w:pPr>
    </w:p>
    <w:p w14:paraId="3532340C">
      <w:pPr>
        <w:pStyle w:val="73"/>
        <w:spacing w:line="360" w:lineRule="auto"/>
        <w:ind w:left="420" w:firstLine="0" w:firstLineChars="0"/>
        <w:rPr>
          <w:rFonts w:hint="eastAsia" w:ascii="宋体" w:hAnsi="宋体" w:eastAsia="宋体" w:cs="宋体"/>
          <w:b/>
          <w:bCs/>
          <w:color w:val="000000"/>
          <w:sz w:val="28"/>
          <w:szCs w:val="24"/>
          <w:highlight w:val="none"/>
        </w:rPr>
      </w:pPr>
    </w:p>
    <w:p w14:paraId="7C85EBA4">
      <w:pPr>
        <w:spacing w:line="360" w:lineRule="auto"/>
        <w:ind w:firstLine="422" w:firstLineChars="150"/>
        <w:rPr>
          <w:rFonts w:hint="eastAsia" w:ascii="宋体" w:hAnsi="宋体" w:eastAsia="宋体" w:cs="宋体"/>
          <w:b/>
          <w:bCs/>
          <w:color w:val="000000"/>
          <w:sz w:val="28"/>
          <w:szCs w:val="24"/>
          <w:highlight w:val="none"/>
          <w:u w:val="single"/>
        </w:rPr>
      </w:pPr>
      <w:r>
        <w:rPr>
          <w:rFonts w:hint="eastAsia" w:ascii="宋体" w:hAnsi="宋体" w:eastAsia="宋体" w:cs="宋体"/>
          <w:b/>
          <w:bCs/>
          <w:color w:val="000000"/>
          <w:sz w:val="28"/>
          <w:szCs w:val="24"/>
          <w:highlight w:val="none"/>
        </w:rPr>
        <w:t>工  程  名  称：中国药科大学水环境治理项目工程勘测</w:t>
      </w:r>
    </w:p>
    <w:p w14:paraId="38625019">
      <w:pPr>
        <w:pStyle w:val="73"/>
        <w:spacing w:line="360" w:lineRule="auto"/>
        <w:ind w:left="420" w:firstLine="0" w:firstLineChars="0"/>
        <w:jc w:val="left"/>
        <w:rPr>
          <w:rFonts w:hint="eastAsia" w:ascii="宋体" w:hAnsi="宋体" w:eastAsia="宋体" w:cs="宋体"/>
          <w:b/>
          <w:bCs/>
          <w:color w:val="000000"/>
          <w:sz w:val="28"/>
          <w:szCs w:val="24"/>
          <w:highlight w:val="none"/>
        </w:rPr>
      </w:pPr>
      <w:r>
        <w:rPr>
          <w:rFonts w:hint="eastAsia" w:ascii="宋体" w:hAnsi="宋体" w:eastAsia="宋体" w:cs="宋体"/>
          <w:b/>
          <w:bCs/>
          <w:color w:val="000000"/>
          <w:sz w:val="28"/>
          <w:szCs w:val="24"/>
          <w:highlight w:val="none"/>
        </w:rPr>
        <w:t>工  程  地  点：中国药科大学</w:t>
      </w:r>
      <w:r>
        <w:rPr>
          <w:rFonts w:hint="eastAsia" w:ascii="宋体" w:hAnsi="宋体" w:eastAsia="宋体" w:cs="宋体"/>
          <w:b/>
          <w:bCs/>
          <w:color w:val="000000"/>
          <w:sz w:val="28"/>
          <w:szCs w:val="24"/>
          <w:highlight w:val="none"/>
          <w:lang w:val="en-US" w:eastAsia="zh-CN"/>
        </w:rPr>
        <w:t>江宁</w:t>
      </w:r>
      <w:r>
        <w:rPr>
          <w:rFonts w:hint="eastAsia" w:ascii="宋体" w:hAnsi="宋体" w:eastAsia="宋体" w:cs="宋体"/>
          <w:b/>
          <w:bCs/>
          <w:color w:val="000000"/>
          <w:sz w:val="28"/>
          <w:szCs w:val="24"/>
          <w:highlight w:val="none"/>
        </w:rPr>
        <w:t>校区</w:t>
      </w:r>
    </w:p>
    <w:p w14:paraId="30461A12">
      <w:pPr>
        <w:pStyle w:val="73"/>
        <w:spacing w:line="360" w:lineRule="auto"/>
        <w:ind w:left="420" w:firstLine="0" w:firstLineChars="0"/>
        <w:jc w:val="left"/>
        <w:rPr>
          <w:rFonts w:hint="eastAsia" w:ascii="宋体" w:hAnsi="宋体" w:eastAsia="宋体" w:cs="宋体"/>
          <w:b/>
          <w:bCs/>
          <w:color w:val="000000"/>
          <w:sz w:val="28"/>
          <w:szCs w:val="24"/>
          <w:highlight w:val="none"/>
        </w:rPr>
      </w:pPr>
      <w:r>
        <w:rPr>
          <w:rFonts w:hint="eastAsia" w:ascii="宋体" w:hAnsi="宋体" w:eastAsia="宋体" w:cs="宋体"/>
          <w:b/>
          <w:bCs/>
          <w:color w:val="000000"/>
          <w:sz w:val="28"/>
          <w:szCs w:val="24"/>
          <w:highlight w:val="none"/>
        </w:rPr>
        <w:t>合  同  编  号：</w:t>
      </w:r>
    </w:p>
    <w:p w14:paraId="462E1A5B">
      <w:pPr>
        <w:spacing w:line="360" w:lineRule="auto"/>
        <w:ind w:firstLine="455" w:firstLineChars="150"/>
        <w:rPr>
          <w:rFonts w:hint="default" w:ascii="宋体" w:hAnsi="宋体" w:eastAsia="宋体" w:cs="宋体"/>
          <w:b/>
          <w:bCs/>
          <w:color w:val="000000"/>
          <w:sz w:val="28"/>
          <w:szCs w:val="24"/>
          <w:highlight w:val="none"/>
          <w:lang w:val="en-US" w:eastAsia="zh-CN"/>
        </w:rPr>
      </w:pPr>
      <w:r>
        <w:rPr>
          <w:rFonts w:hint="eastAsia" w:ascii="宋体" w:hAnsi="宋体" w:eastAsia="宋体" w:cs="宋体"/>
          <w:b/>
          <w:bCs/>
          <w:color w:val="000000"/>
          <w:spacing w:val="11"/>
          <w:sz w:val="28"/>
          <w:szCs w:val="24"/>
          <w:highlight w:val="none"/>
        </w:rPr>
        <w:t>勘察证书等级</w:t>
      </w:r>
      <w:r>
        <w:rPr>
          <w:rFonts w:hint="eastAsia" w:ascii="宋体" w:hAnsi="宋体" w:eastAsia="宋体" w:cs="宋体"/>
          <w:b/>
          <w:bCs/>
          <w:color w:val="000000"/>
          <w:sz w:val="28"/>
          <w:szCs w:val="24"/>
          <w:highlight w:val="none"/>
        </w:rPr>
        <w:t>：</w:t>
      </w:r>
    </w:p>
    <w:p w14:paraId="40D9680C">
      <w:pPr>
        <w:pStyle w:val="73"/>
        <w:spacing w:line="360" w:lineRule="auto"/>
        <w:ind w:left="420" w:firstLine="0" w:firstLineChars="0"/>
        <w:rPr>
          <w:rFonts w:hint="eastAsia" w:ascii="宋体" w:hAnsi="宋体" w:eastAsia="宋体" w:cs="宋体"/>
          <w:b/>
          <w:bCs/>
          <w:color w:val="000000"/>
          <w:sz w:val="28"/>
          <w:szCs w:val="24"/>
          <w:highlight w:val="none"/>
          <w:u w:val="single"/>
          <w:lang w:val="en-US" w:eastAsia="zh-CN"/>
        </w:rPr>
      </w:pPr>
      <w:r>
        <w:rPr>
          <w:rFonts w:hint="eastAsia" w:ascii="宋体" w:hAnsi="宋体" w:eastAsia="宋体" w:cs="宋体"/>
          <w:b/>
          <w:bCs/>
          <w:color w:val="000000"/>
          <w:sz w:val="28"/>
          <w:szCs w:val="24"/>
          <w:highlight w:val="none"/>
        </w:rPr>
        <w:t>发    包    人：</w:t>
      </w:r>
      <w:r>
        <w:rPr>
          <w:rFonts w:hint="eastAsia" w:ascii="宋体" w:hAnsi="宋体" w:cs="宋体"/>
          <w:b/>
          <w:bCs/>
          <w:color w:val="000000"/>
          <w:sz w:val="28"/>
          <w:szCs w:val="24"/>
          <w:highlight w:val="none"/>
          <w:lang w:val="en-US" w:eastAsia="zh-CN"/>
        </w:rPr>
        <w:t>中国药科大学</w:t>
      </w:r>
    </w:p>
    <w:p w14:paraId="1FDFDEFF">
      <w:pPr>
        <w:pStyle w:val="73"/>
        <w:spacing w:line="360" w:lineRule="auto"/>
        <w:ind w:left="420" w:firstLine="0" w:firstLineChars="0"/>
        <w:rPr>
          <w:rFonts w:hint="default" w:ascii="宋体" w:hAnsi="宋体" w:eastAsia="宋体" w:cs="宋体"/>
          <w:b/>
          <w:bCs/>
          <w:color w:val="000000"/>
          <w:sz w:val="28"/>
          <w:szCs w:val="24"/>
          <w:highlight w:val="none"/>
          <w:u w:val="single"/>
          <w:lang w:val="en-US" w:eastAsia="zh-CN"/>
        </w:rPr>
      </w:pPr>
      <w:r>
        <w:rPr>
          <w:rFonts w:hint="eastAsia" w:ascii="宋体" w:hAnsi="宋体" w:eastAsia="宋体" w:cs="宋体"/>
          <w:b/>
          <w:bCs/>
          <w:color w:val="000000"/>
          <w:sz w:val="28"/>
          <w:szCs w:val="24"/>
          <w:highlight w:val="none"/>
        </w:rPr>
        <w:t>勘    察    人：</w:t>
      </w:r>
    </w:p>
    <w:p w14:paraId="3EA2491F">
      <w:pPr>
        <w:pStyle w:val="73"/>
        <w:spacing w:line="360" w:lineRule="auto"/>
        <w:ind w:left="420" w:firstLine="0" w:firstLineChars="0"/>
        <w:rPr>
          <w:rFonts w:hint="default" w:ascii="宋体" w:hAnsi="宋体" w:eastAsia="宋体" w:cs="宋体"/>
          <w:b/>
          <w:bCs/>
          <w:color w:val="000000"/>
          <w:sz w:val="28"/>
          <w:szCs w:val="24"/>
          <w:highlight w:val="none"/>
          <w:lang w:val="en-US" w:eastAsia="zh-CN"/>
        </w:rPr>
      </w:pPr>
      <w:r>
        <w:rPr>
          <w:rFonts w:hint="eastAsia" w:ascii="宋体" w:hAnsi="宋体" w:eastAsia="宋体" w:cs="宋体"/>
          <w:b/>
          <w:bCs/>
          <w:color w:val="000000"/>
          <w:sz w:val="28"/>
          <w:szCs w:val="24"/>
          <w:highlight w:val="none"/>
        </w:rPr>
        <w:t>签  订  日  期：</w:t>
      </w:r>
      <w:r>
        <w:rPr>
          <w:rFonts w:hint="eastAsia" w:ascii="宋体" w:hAnsi="宋体" w:cs="宋体"/>
          <w:b/>
          <w:bCs/>
          <w:color w:val="000000"/>
          <w:sz w:val="28"/>
          <w:szCs w:val="24"/>
          <w:highlight w:val="none"/>
          <w:lang w:val="en-US" w:eastAsia="zh-CN"/>
        </w:rPr>
        <w:t>2026年1月  日</w:t>
      </w:r>
    </w:p>
    <w:p w14:paraId="3C125FA9">
      <w:pPr>
        <w:pStyle w:val="16"/>
        <w:rPr>
          <w:rFonts w:hint="eastAsia" w:ascii="宋体" w:hAnsi="宋体" w:eastAsia="宋体" w:cs="宋体"/>
          <w:color w:val="000000"/>
          <w:highlight w:val="none"/>
        </w:rPr>
      </w:pPr>
    </w:p>
    <w:p w14:paraId="51CFD1C4">
      <w:pPr>
        <w:widowControl/>
        <w:jc w:val="left"/>
        <w:rPr>
          <w:rFonts w:hint="eastAsia" w:ascii="宋体" w:hAnsi="宋体" w:eastAsia="宋体" w:cs="宋体"/>
          <w:color w:val="000000"/>
          <w:sz w:val="28"/>
          <w:szCs w:val="24"/>
          <w:highlight w:val="none"/>
        </w:rPr>
      </w:pPr>
    </w:p>
    <w:p w14:paraId="5503A425">
      <w:pPr>
        <w:widowControl/>
        <w:jc w:val="left"/>
        <w:rPr>
          <w:rFonts w:hint="eastAsia" w:ascii="宋体" w:hAnsi="宋体" w:eastAsia="宋体" w:cs="宋体"/>
          <w:color w:val="000000"/>
          <w:sz w:val="28"/>
          <w:szCs w:val="24"/>
          <w:highlight w:val="none"/>
        </w:rPr>
      </w:pPr>
    </w:p>
    <w:p w14:paraId="41AFA24F">
      <w:pPr>
        <w:rPr>
          <w:rFonts w:hint="default" w:ascii="宋体" w:hAnsi="宋体" w:eastAsia="宋体" w:cs="宋体"/>
          <w:b/>
          <w:bCs w:val="0"/>
          <w:color w:val="000000"/>
          <w:kern w:val="2"/>
          <w:sz w:val="32"/>
          <w:szCs w:val="20"/>
          <w:lang w:val="en-US" w:eastAsia="zh-CN" w:bidi="ar-SA"/>
        </w:rPr>
      </w:pPr>
      <w:r>
        <w:rPr>
          <w:rFonts w:hint="default" w:ascii="宋体" w:hAnsi="宋体" w:eastAsia="宋体" w:cs="宋体"/>
          <w:b/>
          <w:bCs w:val="0"/>
          <w:color w:val="000000"/>
          <w:kern w:val="2"/>
          <w:sz w:val="32"/>
          <w:szCs w:val="20"/>
          <w:lang w:val="en-US" w:eastAsia="zh-CN" w:bidi="ar-SA"/>
        </w:rPr>
        <w:br w:type="page"/>
      </w:r>
    </w:p>
    <w:p w14:paraId="43FBA701">
      <w:pPr>
        <w:pStyle w:val="112"/>
        <w:numPr>
          <w:ilvl w:val="0"/>
          <w:numId w:val="0"/>
        </w:numPr>
        <w:spacing w:line="412" w:lineRule="auto"/>
        <w:ind w:left="1080" w:leftChars="0" w:hanging="1080" w:firstLineChars="0"/>
        <w:jc w:val="center"/>
        <w:rPr>
          <w:rFonts w:hint="eastAsia" w:ascii="宋体" w:hAnsi="宋体" w:eastAsia="宋体" w:cs="宋体"/>
          <w:bCs w:val="0"/>
          <w:color w:val="000000"/>
          <w:szCs w:val="20"/>
          <w:highlight w:val="none"/>
        </w:rPr>
      </w:pPr>
      <w:r>
        <w:rPr>
          <w:rFonts w:hint="default" w:ascii="宋体" w:hAnsi="宋体" w:eastAsia="宋体" w:cs="宋体"/>
          <w:b/>
          <w:bCs w:val="0"/>
          <w:color w:val="000000"/>
          <w:kern w:val="2"/>
          <w:sz w:val="32"/>
          <w:szCs w:val="20"/>
          <w:lang w:val="en-US" w:eastAsia="zh-CN" w:bidi="ar-SA"/>
        </w:rPr>
        <w:t>第一节</w:t>
      </w:r>
      <w:r>
        <w:rPr>
          <w:rFonts w:hint="eastAsia" w:ascii="宋体" w:hAnsi="宋体" w:eastAsia="宋体" w:cs="宋体"/>
          <w:b/>
          <w:bCs w:val="0"/>
          <w:color w:val="000000"/>
          <w:kern w:val="2"/>
          <w:sz w:val="32"/>
          <w:szCs w:val="20"/>
          <w:lang w:val="en-US" w:eastAsia="zh-CN" w:bidi="ar-SA"/>
        </w:rPr>
        <w:t xml:space="preserve"> </w:t>
      </w:r>
      <w:r>
        <w:rPr>
          <w:rFonts w:hint="eastAsia" w:ascii="宋体" w:hAnsi="宋体" w:eastAsia="宋体" w:cs="宋体"/>
          <w:bCs w:val="0"/>
          <w:color w:val="000000"/>
          <w:szCs w:val="20"/>
          <w:highlight w:val="none"/>
        </w:rPr>
        <w:t>合同协议书</w:t>
      </w:r>
    </w:p>
    <w:p w14:paraId="43EDA9FA">
      <w:pPr>
        <w:pStyle w:val="110"/>
        <w:spacing w:line="440" w:lineRule="exact"/>
        <w:jc w:val="center"/>
        <w:rPr>
          <w:rFonts w:hint="eastAsia" w:ascii="宋体" w:hAnsi="宋体" w:eastAsia="宋体" w:cs="宋体"/>
          <w:color w:val="000000"/>
          <w:sz w:val="28"/>
          <w:highlight w:val="none"/>
        </w:rPr>
      </w:pPr>
      <w:r>
        <w:rPr>
          <w:rFonts w:hint="eastAsia" w:ascii="宋体" w:hAnsi="宋体" w:eastAsia="宋体" w:cs="宋体"/>
          <w:color w:val="000000"/>
          <w:sz w:val="28"/>
          <w:highlight w:val="none"/>
        </w:rPr>
        <w:t>合同协议书</w:t>
      </w:r>
    </w:p>
    <w:p w14:paraId="61F0AB95">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u w:val="single"/>
        </w:rPr>
        <w:t>中国药科大学</w:t>
      </w:r>
      <w:r>
        <w:rPr>
          <w:rFonts w:hint="eastAsia" w:ascii="宋体" w:hAnsi="宋体" w:eastAsia="宋体" w:cs="宋体"/>
          <w:color w:val="000000"/>
          <w:szCs w:val="21"/>
          <w:highlight w:val="none"/>
        </w:rPr>
        <w:t>（发包人名称，以下简称“发包人”）为实施</w:t>
      </w:r>
      <w:r>
        <w:rPr>
          <w:rFonts w:hint="eastAsia" w:ascii="宋体" w:hAnsi="宋体" w:cs="宋体"/>
          <w:color w:val="000000"/>
          <w:szCs w:val="21"/>
          <w:highlight w:val="none"/>
          <w:u w:val="single"/>
          <w:lang w:eastAsia="zh-CN"/>
        </w:rPr>
        <w:t>中国药科大学水环境治理项目工程勘测</w:t>
      </w:r>
      <w:r>
        <w:rPr>
          <w:rFonts w:hint="eastAsia" w:ascii="宋体" w:hAnsi="宋体" w:eastAsia="宋体" w:cs="宋体"/>
          <w:color w:val="000000"/>
          <w:szCs w:val="21"/>
          <w:highlight w:val="none"/>
        </w:rPr>
        <w:t>（项目名称），已接受（以下简称“勘察人”）对该项目勘察投标。发包人和勘察人共同达成如下协议。</w:t>
      </w:r>
    </w:p>
    <w:p w14:paraId="51BE301D">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1.本协议书与下列文件一起构成合同文件：</w:t>
      </w:r>
    </w:p>
    <w:p w14:paraId="0D9B3C21">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（1）中标通知书；</w:t>
      </w:r>
    </w:p>
    <w:p w14:paraId="12F42CA5">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（2）投标函及投标函附录；</w:t>
      </w:r>
    </w:p>
    <w:p w14:paraId="6C0F8FF1">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（3）专用合同条款；</w:t>
      </w:r>
    </w:p>
    <w:p w14:paraId="6B6446C7">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（4）通用合同条款；</w:t>
      </w:r>
    </w:p>
    <w:p w14:paraId="54FABB25">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（5）发包人要求；</w:t>
      </w:r>
    </w:p>
    <w:p w14:paraId="14A2817B">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（6）勘察费用清单；</w:t>
      </w:r>
    </w:p>
    <w:p w14:paraId="2CB4BC30">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（7）勘察纲要；</w:t>
      </w:r>
    </w:p>
    <w:p w14:paraId="7EA9A852">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（8）其他合同文件。</w:t>
      </w:r>
    </w:p>
    <w:p w14:paraId="50E28966">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2.上述合同文件互相补充和解释。如果合同文件之间存在矛盾或不一致之处，以上述文件的排列顺序在先者为准。</w:t>
      </w:r>
    </w:p>
    <w:p w14:paraId="4FF480C9">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both"/>
        <w:textAlignment w:val="auto"/>
        <w:rPr>
          <w:rFonts w:hint="eastAsia" w:ascii="宋体" w:hAnsi="宋体" w:eastAsia="宋体" w:cs="宋体"/>
          <w:color w:val="000000"/>
          <w:szCs w:val="21"/>
          <w:highlight w:val="yellow"/>
          <w:lang w:val="en-US" w:eastAsia="zh-CN"/>
        </w:rPr>
      </w:pPr>
      <w:r>
        <w:rPr>
          <w:rFonts w:hint="eastAsia" w:ascii="宋体" w:hAnsi="宋体" w:eastAsia="宋体" w:cs="宋体"/>
          <w:color w:val="000000"/>
          <w:szCs w:val="21"/>
          <w:highlight w:val="none"/>
        </w:rPr>
        <w:t>3.签约合同价：</w:t>
      </w:r>
      <w:r>
        <w:rPr>
          <w:rFonts w:hint="eastAsia" w:ascii="宋体" w:hAnsi="宋体" w:eastAsia="宋体" w:cs="宋体"/>
          <w:color w:val="000000"/>
          <w:szCs w:val="21"/>
          <w:highlight w:val="none"/>
          <w:lang w:val="en-US" w:eastAsia="zh-CN"/>
        </w:rPr>
        <w:t>固定总价</w:t>
      </w:r>
      <w:r>
        <w:rPr>
          <w:rFonts w:hint="eastAsia" w:ascii="宋体" w:hAnsi="宋体" w:eastAsia="宋体" w:cs="宋体"/>
          <w:color w:val="000000"/>
          <w:szCs w:val="21"/>
          <w:highlight w:val="none"/>
          <w:u w:val="single"/>
          <w:lang w:val="en-US" w:eastAsia="zh-CN"/>
        </w:rPr>
        <w:t xml:space="preserve">      </w:t>
      </w:r>
      <w:r>
        <w:rPr>
          <w:rFonts w:hint="eastAsia" w:ascii="宋体" w:hAnsi="宋体" w:eastAsia="宋体" w:cs="宋体"/>
          <w:color w:val="000000"/>
          <w:szCs w:val="21"/>
          <w:highlight w:val="none"/>
          <w:lang w:val="en-US" w:eastAsia="zh-CN"/>
        </w:rPr>
        <w:t>元</w:t>
      </w:r>
      <w:r>
        <w:rPr>
          <w:rFonts w:hint="eastAsia" w:ascii="宋体" w:hAnsi="宋体" w:eastAsia="宋体" w:cs="宋体"/>
          <w:color w:val="000000"/>
          <w:sz w:val="21"/>
          <w:szCs w:val="21"/>
          <w:highlight w:val="none"/>
        </w:rPr>
        <w:t>。</w:t>
      </w:r>
    </w:p>
    <w:p w14:paraId="78F57AE2">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4.项目负责人：</w:t>
      </w:r>
      <w:r>
        <w:rPr>
          <w:rFonts w:hint="eastAsia" w:ascii="宋体" w:hAnsi="宋体" w:eastAsia="宋体" w:cs="宋体"/>
          <w:color w:val="000000"/>
          <w:szCs w:val="21"/>
          <w:highlight w:val="none"/>
          <w:u w:val="single"/>
          <w:lang w:val="en-US" w:eastAsia="zh-CN"/>
        </w:rPr>
        <w:t xml:space="preserve">  </w:t>
      </w:r>
      <w:r>
        <w:rPr>
          <w:rFonts w:hint="eastAsia" w:ascii="宋体" w:hAnsi="宋体" w:cs="宋体"/>
          <w:color w:val="000000"/>
          <w:szCs w:val="21"/>
          <w:highlight w:val="none"/>
          <w:u w:val="single"/>
          <w:lang w:val="en-US" w:eastAsia="zh-CN"/>
        </w:rPr>
        <w:t xml:space="preserve">    </w:t>
      </w:r>
      <w:r>
        <w:rPr>
          <w:rFonts w:hint="eastAsia" w:ascii="宋体" w:hAnsi="宋体" w:eastAsia="宋体" w:cs="宋体"/>
          <w:color w:val="000000"/>
          <w:szCs w:val="21"/>
          <w:highlight w:val="none"/>
          <w:u w:val="single"/>
          <w:lang w:val="en-US" w:eastAsia="zh-CN"/>
        </w:rPr>
        <w:t xml:space="preserve">  </w:t>
      </w:r>
      <w:r>
        <w:rPr>
          <w:rFonts w:hint="eastAsia" w:ascii="宋体" w:hAnsi="宋体" w:eastAsia="宋体" w:cs="宋体"/>
          <w:color w:val="000000"/>
          <w:szCs w:val="21"/>
          <w:highlight w:val="none"/>
        </w:rPr>
        <w:t>。</w:t>
      </w:r>
    </w:p>
    <w:p w14:paraId="6EC7856D">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5.勘察工作质量符合的标准和要求：</w:t>
      </w:r>
      <w:r>
        <w:rPr>
          <w:rFonts w:hint="eastAsia" w:ascii="宋体" w:hAnsi="宋体" w:eastAsia="宋体" w:cs="宋体"/>
          <w:color w:val="000000"/>
          <w:szCs w:val="21"/>
          <w:highlight w:val="none"/>
          <w:u w:val="single"/>
        </w:rPr>
        <w:t>（1）、按《岩土工程勘察规范》（GB50021-2001）（2009年版）中的详细勘查阶段要求进行，且同时满足地方标准及规定的要求。（2）符合</w:t>
      </w:r>
      <w:r>
        <w:rPr>
          <w:rFonts w:hint="eastAsia" w:ascii="宋体" w:hAnsi="宋体" w:eastAsia="宋体" w:cs="宋体"/>
          <w:color w:val="000000"/>
          <w:szCs w:val="21"/>
          <w:highlight w:val="none"/>
          <w:u w:val="single"/>
          <w:lang w:val="en-US" w:eastAsia="zh-CN"/>
        </w:rPr>
        <w:t>询价</w:t>
      </w:r>
      <w:r>
        <w:rPr>
          <w:rFonts w:hint="eastAsia" w:ascii="宋体" w:hAnsi="宋体" w:eastAsia="宋体" w:cs="宋体"/>
          <w:color w:val="000000"/>
          <w:szCs w:val="21"/>
          <w:highlight w:val="none"/>
          <w:u w:val="single"/>
        </w:rPr>
        <w:t>文件第</w:t>
      </w:r>
      <w:r>
        <w:rPr>
          <w:rFonts w:hint="eastAsia" w:ascii="宋体" w:hAnsi="宋体" w:eastAsia="宋体" w:cs="宋体"/>
          <w:color w:val="000000"/>
          <w:szCs w:val="21"/>
          <w:highlight w:val="none"/>
          <w:u w:val="single"/>
          <w:lang w:val="en-US" w:eastAsia="zh-CN"/>
        </w:rPr>
        <w:t>二</w:t>
      </w:r>
      <w:r>
        <w:rPr>
          <w:rFonts w:hint="eastAsia" w:ascii="宋体" w:hAnsi="宋体" w:eastAsia="宋体" w:cs="宋体"/>
          <w:color w:val="000000"/>
          <w:szCs w:val="21"/>
          <w:highlight w:val="none"/>
          <w:u w:val="single"/>
        </w:rPr>
        <w:t>章</w:t>
      </w:r>
      <w:r>
        <w:rPr>
          <w:rFonts w:hint="eastAsia" w:ascii="宋体" w:hAnsi="宋体" w:eastAsia="宋体" w:cs="宋体"/>
          <w:color w:val="000000"/>
          <w:szCs w:val="21"/>
          <w:highlight w:val="none"/>
          <w:u w:val="single"/>
          <w:lang w:val="en-US" w:eastAsia="zh-CN"/>
        </w:rPr>
        <w:t>勘测</w:t>
      </w:r>
      <w:r>
        <w:rPr>
          <w:rFonts w:hint="eastAsia" w:ascii="宋体" w:hAnsi="宋体" w:eastAsia="宋体" w:cs="宋体"/>
          <w:color w:val="000000"/>
          <w:szCs w:val="21"/>
          <w:highlight w:val="none"/>
          <w:u w:val="single"/>
        </w:rPr>
        <w:t>需求相关内容。</w:t>
      </w:r>
    </w:p>
    <w:p w14:paraId="79DEF9C3">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6.勘察人承诺按合同约定承担工程的勘察</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lang w:val="en-US" w:eastAsia="zh-CN"/>
        </w:rPr>
        <w:t>测绘</w:t>
      </w:r>
      <w:r>
        <w:rPr>
          <w:rFonts w:hint="eastAsia" w:ascii="宋体" w:hAnsi="宋体" w:eastAsia="宋体" w:cs="宋体"/>
          <w:color w:val="000000"/>
          <w:szCs w:val="21"/>
          <w:highlight w:val="none"/>
        </w:rPr>
        <w:t>工作。</w:t>
      </w:r>
    </w:p>
    <w:p w14:paraId="7E100F65">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.勘察人计划开始勘察日期：实际日期按照发包人</w:t>
      </w:r>
      <w:r>
        <w:rPr>
          <w:rFonts w:hint="eastAsia" w:ascii="宋体" w:hAnsi="宋体" w:eastAsia="宋体" w:cs="宋体"/>
          <w:color w:val="000000"/>
          <w:szCs w:val="21"/>
          <w:highlight w:val="none"/>
          <w:lang w:val="en-US" w:eastAsia="zh-CN"/>
        </w:rPr>
        <w:t>通知</w:t>
      </w:r>
      <w:r>
        <w:rPr>
          <w:rFonts w:hint="eastAsia" w:ascii="宋体" w:hAnsi="宋体" w:eastAsia="宋体" w:cs="宋体"/>
          <w:color w:val="000000"/>
          <w:szCs w:val="21"/>
          <w:highlight w:val="none"/>
        </w:rPr>
        <w:t>为准。</w:t>
      </w:r>
    </w:p>
    <w:p w14:paraId="658C387A">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bookmarkStart w:id="4" w:name="_Toc152042550"/>
      <w:bookmarkStart w:id="5" w:name="_Toc144974830"/>
      <w:r>
        <w:rPr>
          <w:rFonts w:hint="eastAsia" w:ascii="宋体" w:hAnsi="宋体" w:eastAsia="宋体" w:cs="宋体"/>
          <w:color w:val="000000"/>
          <w:szCs w:val="21"/>
          <w:highlight w:val="none"/>
          <w:lang w:val="en-US" w:eastAsia="zh-CN"/>
        </w:rPr>
        <w:t>8.</w:t>
      </w:r>
      <w:r>
        <w:rPr>
          <w:rFonts w:hint="eastAsia" w:ascii="宋体" w:hAnsi="宋体" w:eastAsia="宋体" w:cs="宋体"/>
          <w:color w:val="000000"/>
          <w:szCs w:val="21"/>
          <w:highlight w:val="none"/>
        </w:rPr>
        <w:t>本合同协议书一式</w:t>
      </w:r>
      <w:r>
        <w:rPr>
          <w:rFonts w:hint="eastAsia" w:ascii="宋体" w:hAnsi="宋体" w:eastAsia="宋体" w:cs="宋体"/>
          <w:color w:val="000000"/>
          <w:szCs w:val="21"/>
          <w:highlight w:val="none"/>
          <w:lang w:eastAsia="zh-CN"/>
        </w:rPr>
        <w:t>捌</w:t>
      </w:r>
      <w:r>
        <w:rPr>
          <w:rFonts w:hint="eastAsia" w:ascii="宋体" w:hAnsi="宋体" w:eastAsia="宋体" w:cs="宋体"/>
          <w:color w:val="000000"/>
          <w:szCs w:val="21"/>
          <w:highlight w:val="none"/>
        </w:rPr>
        <w:t>份，</w:t>
      </w:r>
      <w:r>
        <w:rPr>
          <w:rFonts w:hint="eastAsia" w:ascii="宋体" w:hAnsi="宋体" w:eastAsia="宋体" w:cs="宋体"/>
          <w:color w:val="000000"/>
          <w:szCs w:val="21"/>
          <w:highlight w:val="none"/>
          <w:lang w:eastAsia="zh-CN"/>
        </w:rPr>
        <w:t>发包人</w:t>
      </w:r>
      <w:r>
        <w:rPr>
          <w:rFonts w:hint="eastAsia" w:ascii="宋体" w:hAnsi="宋体" w:eastAsia="宋体" w:cs="宋体"/>
          <w:color w:val="000000"/>
          <w:szCs w:val="21"/>
          <w:highlight w:val="none"/>
        </w:rPr>
        <w:t>执</w:t>
      </w:r>
      <w:r>
        <w:rPr>
          <w:rFonts w:hint="eastAsia" w:ascii="宋体" w:hAnsi="宋体" w:eastAsia="宋体" w:cs="宋体"/>
          <w:color w:val="000000"/>
          <w:szCs w:val="21"/>
          <w:highlight w:val="none"/>
          <w:lang w:eastAsia="zh-CN"/>
        </w:rPr>
        <w:t>伍份，勘察人执叁</w:t>
      </w:r>
      <w:r>
        <w:rPr>
          <w:rFonts w:hint="eastAsia" w:ascii="宋体" w:hAnsi="宋体" w:eastAsia="宋体" w:cs="宋体"/>
          <w:color w:val="000000"/>
          <w:szCs w:val="21"/>
          <w:highlight w:val="none"/>
        </w:rPr>
        <w:t>份。</w:t>
      </w:r>
    </w:p>
    <w:p w14:paraId="0D4ADE4A">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9</w:t>
      </w:r>
      <w:r>
        <w:rPr>
          <w:rFonts w:hint="eastAsia" w:ascii="宋体" w:hAnsi="宋体" w:eastAsia="宋体" w:cs="宋体"/>
          <w:color w:val="000000"/>
          <w:szCs w:val="21"/>
          <w:highlight w:val="none"/>
        </w:rPr>
        <w:t>.合同未尽事宜，双方另行签订补充协议。补充协议是合同的组成部分。</w:t>
      </w:r>
      <w:bookmarkEnd w:id="4"/>
      <w:bookmarkEnd w:id="5"/>
    </w:p>
    <w:p w14:paraId="0F73BA4C">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p>
    <w:p w14:paraId="16A0BBAE">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发包人：（盖单位章）    </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 xml:space="preserve"> 勘察人：（盖单位章）</w:t>
      </w:r>
    </w:p>
    <w:p w14:paraId="2704A947">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法定代表人或其委托代理人：（签字）    </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法定代表人或其委托代理人：（签字）</w:t>
      </w:r>
    </w:p>
    <w:p w14:paraId="78AFFBD9">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年</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 xml:space="preserve">月  日       </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 xml:space="preserve"> 年</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月 日</w:t>
      </w:r>
    </w:p>
    <w:p w14:paraId="68DDCE0B">
      <w:pPr>
        <w:pStyle w:val="110"/>
        <w:rPr>
          <w:rFonts w:hint="eastAsia" w:ascii="宋体" w:hAnsi="宋体" w:eastAsia="宋体" w:cs="宋体"/>
          <w:color w:val="000000"/>
          <w:highlight w:val="none"/>
        </w:rPr>
      </w:pPr>
    </w:p>
    <w:p w14:paraId="0E88830D">
      <w:pPr>
        <w:rPr>
          <w:rFonts w:hint="default" w:ascii="宋体" w:hAnsi="宋体" w:eastAsia="宋体" w:cs="宋体"/>
          <w:b/>
          <w:bCs w:val="0"/>
          <w:color w:val="000000"/>
          <w:kern w:val="2"/>
          <w:sz w:val="32"/>
          <w:szCs w:val="20"/>
          <w:lang w:val="en-US" w:eastAsia="zh-CN" w:bidi="ar-SA"/>
        </w:rPr>
      </w:pPr>
      <w:bookmarkStart w:id="6" w:name="_Toc117059893"/>
      <w:bookmarkStart w:id="7" w:name="_Toc492300507"/>
      <w:bookmarkStart w:id="8" w:name="_Toc152042546"/>
      <w:bookmarkStart w:id="9" w:name="_Toc152045767"/>
      <w:bookmarkStart w:id="10" w:name="_Toc144974826"/>
      <w:bookmarkStart w:id="11" w:name="_Toc179632785"/>
      <w:r>
        <w:rPr>
          <w:rFonts w:hint="default" w:ascii="宋体" w:hAnsi="宋体" w:eastAsia="宋体" w:cs="宋体"/>
          <w:b/>
          <w:bCs w:val="0"/>
          <w:color w:val="000000"/>
          <w:kern w:val="2"/>
          <w:sz w:val="32"/>
          <w:szCs w:val="20"/>
          <w:lang w:val="en-US" w:eastAsia="zh-CN" w:bidi="ar-SA"/>
        </w:rPr>
        <w:br w:type="page"/>
      </w:r>
    </w:p>
    <w:p w14:paraId="0A1108C4">
      <w:pPr>
        <w:pStyle w:val="112"/>
        <w:numPr>
          <w:ilvl w:val="0"/>
          <w:numId w:val="0"/>
        </w:numPr>
        <w:spacing w:line="412" w:lineRule="auto"/>
        <w:ind w:left="1080" w:leftChars="0" w:hanging="1080" w:firstLineChars="0"/>
        <w:jc w:val="center"/>
        <w:rPr>
          <w:rFonts w:hint="eastAsia" w:ascii="宋体" w:hAnsi="宋体" w:eastAsia="宋体" w:cs="宋体"/>
          <w:bCs w:val="0"/>
          <w:color w:val="000000"/>
          <w:szCs w:val="20"/>
          <w:highlight w:val="none"/>
        </w:rPr>
      </w:pPr>
      <w:r>
        <w:rPr>
          <w:rFonts w:hint="default" w:ascii="宋体" w:hAnsi="宋体" w:eastAsia="宋体" w:cs="宋体"/>
          <w:b/>
          <w:bCs w:val="0"/>
          <w:color w:val="000000"/>
          <w:kern w:val="2"/>
          <w:sz w:val="32"/>
          <w:szCs w:val="20"/>
          <w:lang w:val="en-US" w:eastAsia="zh-CN" w:bidi="ar-SA"/>
        </w:rPr>
        <w:t>第二节</w:t>
      </w:r>
      <w:r>
        <w:rPr>
          <w:rFonts w:hint="eastAsia" w:ascii="宋体" w:hAnsi="宋体" w:eastAsia="宋体" w:cs="宋体"/>
          <w:b/>
          <w:bCs w:val="0"/>
          <w:color w:val="000000"/>
          <w:kern w:val="2"/>
          <w:sz w:val="32"/>
          <w:szCs w:val="20"/>
          <w:lang w:val="en-US" w:eastAsia="zh-CN" w:bidi="ar-SA"/>
        </w:rPr>
        <w:t xml:space="preserve"> </w:t>
      </w:r>
      <w:r>
        <w:rPr>
          <w:rFonts w:hint="eastAsia" w:ascii="宋体" w:hAnsi="宋体" w:eastAsia="宋体" w:cs="宋体"/>
          <w:bCs w:val="0"/>
          <w:color w:val="000000"/>
          <w:szCs w:val="20"/>
          <w:highlight w:val="none"/>
        </w:rPr>
        <w:t>通用合同条款</w:t>
      </w:r>
      <w:bookmarkEnd w:id="6"/>
    </w:p>
    <w:p w14:paraId="3791022D">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2" w:name="_Toc117059894"/>
      <w:bookmarkStart w:id="13" w:name="_Toc492300429"/>
      <w:bookmarkStart w:id="14" w:name="_Toc482188546"/>
      <w:r>
        <w:rPr>
          <w:rFonts w:hint="eastAsia" w:ascii="宋体" w:hAnsi="宋体" w:eastAsia="宋体" w:cs="宋体"/>
          <w:color w:val="000000"/>
          <w:highlight w:val="none"/>
        </w:rPr>
        <w:t>1. 一般约定</w:t>
      </w:r>
      <w:bookmarkEnd w:id="12"/>
      <w:bookmarkEnd w:id="13"/>
      <w:bookmarkEnd w:id="14"/>
    </w:p>
    <w:p w14:paraId="50A8D1F4">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5" w:name="_Toc482188547"/>
      <w:bookmarkStart w:id="16" w:name="_Toc492300430"/>
      <w:r>
        <w:rPr>
          <w:rFonts w:hint="eastAsia" w:ascii="宋体" w:hAnsi="宋体" w:eastAsia="宋体" w:cs="宋体"/>
          <w:color w:val="000000"/>
          <w:highlight w:val="none"/>
        </w:rPr>
        <w:t>1.1 词语定义</w:t>
      </w:r>
      <w:bookmarkEnd w:id="15"/>
      <w:bookmarkEnd w:id="16"/>
    </w:p>
    <w:p w14:paraId="070E227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通用合同条款、专用合同条款中的下列词语应具有本款所赋予的含义。</w:t>
      </w:r>
    </w:p>
    <w:p w14:paraId="7FA9F7F4">
      <w:pPr>
        <w:pageBreakBefore w:val="0"/>
        <w:widowControl w:val="0"/>
        <w:kinsoku/>
        <w:wordWrap/>
        <w:overflowPunct/>
        <w:topLinePunct w:val="0"/>
        <w:autoSpaceDE/>
        <w:autoSpaceDN/>
        <w:bidi w:val="0"/>
        <w:adjustRightInd/>
        <w:snapToGrid/>
        <w:spacing w:line="360" w:lineRule="auto"/>
        <w:ind w:firstLine="394" w:firstLineChars="196"/>
        <w:textAlignment w:val="auto"/>
        <w:rPr>
          <w:rFonts w:hint="eastAsia" w:ascii="宋体" w:hAnsi="宋体" w:eastAsia="宋体" w:cs="宋体"/>
          <w:b/>
          <w:color w:val="000000"/>
          <w:highlight w:val="none"/>
        </w:rPr>
      </w:pPr>
      <w:r>
        <w:rPr>
          <w:rFonts w:hint="eastAsia" w:ascii="宋体" w:hAnsi="宋体" w:eastAsia="宋体" w:cs="宋体"/>
          <w:b/>
          <w:color w:val="000000"/>
          <w:highlight w:val="none"/>
        </w:rPr>
        <w:t>1.1.1 合同</w:t>
      </w:r>
    </w:p>
    <w:p w14:paraId="710A9B0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1.1.1.1</w:t>
      </w:r>
      <w:r>
        <w:rPr>
          <w:rFonts w:hint="eastAsia" w:ascii="宋体" w:hAnsi="宋体" w:eastAsia="宋体" w:cs="宋体"/>
          <w:color w:val="000000"/>
          <w:szCs w:val="21"/>
          <w:highlight w:val="none"/>
        </w:rPr>
        <w:t>合</w:t>
      </w:r>
      <w:r>
        <w:rPr>
          <w:rFonts w:hint="eastAsia" w:ascii="宋体" w:hAnsi="宋体" w:eastAsia="宋体" w:cs="宋体"/>
          <w:color w:val="000000"/>
          <w:highlight w:val="none"/>
        </w:rPr>
        <w:t>同文件（或称合同）：指合同协议书、中标通知书、投标函和投标函附录、专用合同条款、通用合同条款、发包人要求、勘察费用清单、勘察纲要，以及其他构成合同组成部分的文件</w:t>
      </w:r>
      <w:r>
        <w:rPr>
          <w:rFonts w:hint="eastAsia" w:ascii="宋体" w:hAnsi="宋体" w:eastAsia="宋体" w:cs="宋体"/>
          <w:color w:val="000000"/>
          <w:szCs w:val="21"/>
          <w:highlight w:val="none"/>
        </w:rPr>
        <w:t>。</w:t>
      </w:r>
    </w:p>
    <w:p w14:paraId="2F000DF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1.1.1.2</w:t>
      </w:r>
      <w:r>
        <w:rPr>
          <w:rFonts w:hint="eastAsia" w:ascii="宋体" w:hAnsi="宋体" w:eastAsia="宋体" w:cs="宋体"/>
          <w:color w:val="000000"/>
          <w:szCs w:val="21"/>
          <w:highlight w:val="none"/>
        </w:rPr>
        <w:t>合同协议书：</w:t>
      </w:r>
      <w:r>
        <w:rPr>
          <w:rFonts w:hint="eastAsia" w:ascii="宋体" w:hAnsi="宋体" w:eastAsia="宋体" w:cs="宋体"/>
          <w:color w:val="000000"/>
          <w:highlight w:val="none"/>
        </w:rPr>
        <w:t>指发包人和勘察人共同签署的合同协议书</w:t>
      </w:r>
      <w:r>
        <w:rPr>
          <w:rFonts w:hint="eastAsia" w:ascii="宋体" w:hAnsi="宋体" w:eastAsia="宋体" w:cs="宋体"/>
          <w:color w:val="000000"/>
          <w:szCs w:val="21"/>
          <w:highlight w:val="none"/>
        </w:rPr>
        <w:t>。</w:t>
      </w:r>
    </w:p>
    <w:p w14:paraId="603C3C7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1.1.1.3</w:t>
      </w:r>
      <w:r>
        <w:rPr>
          <w:rFonts w:hint="eastAsia" w:ascii="宋体" w:hAnsi="宋体" w:eastAsia="宋体" w:cs="宋体"/>
          <w:color w:val="000000"/>
          <w:szCs w:val="21"/>
          <w:highlight w:val="none"/>
        </w:rPr>
        <w:t>中标通知书：</w:t>
      </w:r>
      <w:r>
        <w:rPr>
          <w:rFonts w:hint="eastAsia" w:ascii="宋体" w:hAnsi="宋体" w:eastAsia="宋体" w:cs="宋体"/>
          <w:color w:val="000000"/>
          <w:highlight w:val="none"/>
        </w:rPr>
        <w:t>指</w:t>
      </w:r>
      <w:r>
        <w:rPr>
          <w:rFonts w:hint="eastAsia" w:ascii="宋体" w:hAnsi="宋体" w:eastAsia="宋体" w:cs="宋体"/>
          <w:color w:val="000000"/>
          <w:szCs w:val="21"/>
          <w:highlight w:val="none"/>
        </w:rPr>
        <w:t>发包人通知</w:t>
      </w:r>
      <w:r>
        <w:rPr>
          <w:rFonts w:hint="eastAsia" w:ascii="宋体" w:hAnsi="宋体" w:eastAsia="宋体" w:cs="宋体"/>
          <w:color w:val="000000"/>
          <w:highlight w:val="none"/>
        </w:rPr>
        <w:t>勘察</w:t>
      </w:r>
      <w:r>
        <w:rPr>
          <w:rFonts w:hint="eastAsia" w:ascii="宋体" w:hAnsi="宋体" w:eastAsia="宋体" w:cs="宋体"/>
          <w:color w:val="000000"/>
          <w:szCs w:val="21"/>
          <w:highlight w:val="none"/>
        </w:rPr>
        <w:t>人中标的函件。</w:t>
      </w:r>
    </w:p>
    <w:p w14:paraId="0732C00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1.1.1.4</w:t>
      </w:r>
      <w:r>
        <w:rPr>
          <w:rFonts w:hint="eastAsia" w:ascii="宋体" w:hAnsi="宋体" w:eastAsia="宋体" w:cs="宋体"/>
          <w:color w:val="000000"/>
          <w:szCs w:val="21"/>
          <w:highlight w:val="none"/>
        </w:rPr>
        <w:t>投标函：指由</w:t>
      </w:r>
      <w:r>
        <w:rPr>
          <w:rFonts w:hint="eastAsia" w:ascii="宋体" w:hAnsi="宋体" w:eastAsia="宋体" w:cs="宋体"/>
          <w:color w:val="000000"/>
          <w:highlight w:val="none"/>
        </w:rPr>
        <w:t>勘察</w:t>
      </w:r>
      <w:r>
        <w:rPr>
          <w:rFonts w:hint="eastAsia" w:ascii="宋体" w:hAnsi="宋体" w:eastAsia="宋体" w:cs="宋体"/>
          <w:color w:val="000000"/>
          <w:szCs w:val="21"/>
          <w:highlight w:val="none"/>
        </w:rPr>
        <w:t>人填写并签署的，名为“投标函”的函件。</w:t>
      </w:r>
    </w:p>
    <w:p w14:paraId="2203A13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1.1.1.5</w:t>
      </w:r>
      <w:r>
        <w:rPr>
          <w:rFonts w:hint="eastAsia" w:ascii="宋体" w:hAnsi="宋体" w:eastAsia="宋体" w:cs="宋体"/>
          <w:color w:val="000000"/>
          <w:szCs w:val="21"/>
          <w:highlight w:val="none"/>
        </w:rPr>
        <w:t>投标函附录：指由</w:t>
      </w:r>
      <w:r>
        <w:rPr>
          <w:rFonts w:hint="eastAsia" w:ascii="宋体" w:hAnsi="宋体" w:eastAsia="宋体" w:cs="宋体"/>
          <w:color w:val="000000"/>
          <w:highlight w:val="none"/>
        </w:rPr>
        <w:t>勘察</w:t>
      </w:r>
      <w:r>
        <w:rPr>
          <w:rFonts w:hint="eastAsia" w:ascii="宋体" w:hAnsi="宋体" w:eastAsia="宋体" w:cs="宋体"/>
          <w:color w:val="000000"/>
          <w:szCs w:val="21"/>
          <w:highlight w:val="none"/>
        </w:rPr>
        <w:t>人填写并签署的、附在投标函后，名为“投标函附录”的函件。</w:t>
      </w:r>
    </w:p>
    <w:p w14:paraId="12DB9F8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1.1.1.6</w:t>
      </w:r>
      <w:r>
        <w:rPr>
          <w:rFonts w:hint="eastAsia" w:ascii="宋体" w:hAnsi="宋体" w:eastAsia="宋体" w:cs="宋体"/>
          <w:color w:val="000000"/>
          <w:szCs w:val="21"/>
          <w:highlight w:val="none"/>
        </w:rPr>
        <w:t>发包人要求：指合同文件中名为“发包人要求”的文件。</w:t>
      </w:r>
    </w:p>
    <w:p w14:paraId="3AD2064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1.1.1.7 勘察纲要：指勘察人在投标文件中的勘察纲要。</w:t>
      </w:r>
    </w:p>
    <w:p w14:paraId="0BB3B951">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1.1.1.8</w:t>
      </w:r>
      <w:r>
        <w:rPr>
          <w:rFonts w:hint="eastAsia" w:ascii="宋体" w:hAnsi="宋体" w:eastAsia="宋体" w:cs="宋体"/>
          <w:color w:val="000000"/>
          <w:szCs w:val="21"/>
          <w:highlight w:val="none"/>
        </w:rPr>
        <w:t>勘察费用清单：指勘察人投标文件中的勘察费用清单。</w:t>
      </w:r>
    </w:p>
    <w:p w14:paraId="682EBF8F">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1.1.1.9</w:t>
      </w:r>
      <w:r>
        <w:rPr>
          <w:rFonts w:hint="eastAsia" w:ascii="宋体" w:hAnsi="宋体" w:eastAsia="宋体" w:cs="宋体"/>
          <w:color w:val="000000"/>
          <w:szCs w:val="21"/>
          <w:highlight w:val="none"/>
        </w:rPr>
        <w:t>其他合同文件：指经合同双方当事人确认构成合同文件的其他文件。</w:t>
      </w:r>
    </w:p>
    <w:p w14:paraId="2A5FEF7A">
      <w:pPr>
        <w:pageBreakBefore w:val="0"/>
        <w:widowControl w:val="0"/>
        <w:kinsoku/>
        <w:wordWrap/>
        <w:overflowPunct/>
        <w:topLinePunct w:val="0"/>
        <w:autoSpaceDE/>
        <w:autoSpaceDN/>
        <w:bidi w:val="0"/>
        <w:adjustRightInd/>
        <w:snapToGrid/>
        <w:spacing w:line="360" w:lineRule="auto"/>
        <w:ind w:firstLine="394" w:firstLineChars="196"/>
        <w:textAlignment w:val="auto"/>
        <w:rPr>
          <w:rFonts w:hint="eastAsia" w:ascii="宋体" w:hAnsi="宋体" w:eastAsia="宋体" w:cs="宋体"/>
          <w:b/>
          <w:color w:val="000000"/>
          <w:highlight w:val="none"/>
        </w:rPr>
      </w:pPr>
      <w:r>
        <w:rPr>
          <w:rFonts w:hint="eastAsia" w:ascii="宋体" w:hAnsi="宋体" w:eastAsia="宋体" w:cs="宋体"/>
          <w:b/>
          <w:color w:val="000000"/>
          <w:highlight w:val="none"/>
        </w:rPr>
        <w:t>1.1.2 合同当事人和人员</w:t>
      </w:r>
    </w:p>
    <w:p w14:paraId="42855B5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1.1.2.1 合同当事人：指发包人和（或）勘察人。</w:t>
      </w:r>
    </w:p>
    <w:p w14:paraId="31D3734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1.1.2.2 发包人：指与勘察人签订合同协议书的当事人</w:t>
      </w:r>
      <w:r>
        <w:rPr>
          <w:rFonts w:hint="eastAsia" w:ascii="宋体" w:hAnsi="宋体" w:eastAsia="宋体" w:cs="宋体"/>
          <w:color w:val="000000"/>
          <w:kern w:val="0"/>
          <w:szCs w:val="21"/>
          <w:highlight w:val="none"/>
        </w:rPr>
        <w:t>，及其</w:t>
      </w:r>
      <w:r>
        <w:rPr>
          <w:rFonts w:hint="eastAsia" w:ascii="宋体" w:hAnsi="宋体" w:eastAsia="宋体" w:cs="宋体"/>
          <w:color w:val="000000"/>
          <w:kern w:val="0"/>
          <w:szCs w:val="24"/>
          <w:highlight w:val="none"/>
        </w:rPr>
        <w:t>合法继承人</w:t>
      </w:r>
      <w:r>
        <w:rPr>
          <w:rFonts w:hint="eastAsia" w:ascii="宋体" w:hAnsi="宋体" w:eastAsia="宋体" w:cs="宋体"/>
          <w:color w:val="000000"/>
          <w:szCs w:val="21"/>
          <w:highlight w:val="none"/>
        </w:rPr>
        <w:t>。</w:t>
      </w:r>
    </w:p>
    <w:p w14:paraId="69A73F6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1.1.2.3 </w:t>
      </w:r>
      <w:r>
        <w:rPr>
          <w:rFonts w:hint="eastAsia" w:ascii="宋体" w:hAnsi="宋体" w:eastAsia="宋体" w:cs="宋体"/>
          <w:color w:val="000000"/>
          <w:highlight w:val="none"/>
        </w:rPr>
        <w:t>勘察</w:t>
      </w:r>
      <w:r>
        <w:rPr>
          <w:rFonts w:hint="eastAsia" w:ascii="宋体" w:hAnsi="宋体" w:eastAsia="宋体" w:cs="宋体"/>
          <w:color w:val="000000"/>
          <w:szCs w:val="21"/>
          <w:highlight w:val="none"/>
        </w:rPr>
        <w:t>人：指与发包人签订合同协议书的当事人</w:t>
      </w:r>
      <w:r>
        <w:rPr>
          <w:rFonts w:hint="eastAsia" w:ascii="宋体" w:hAnsi="宋体" w:eastAsia="宋体" w:cs="宋体"/>
          <w:color w:val="000000"/>
          <w:kern w:val="0"/>
          <w:szCs w:val="21"/>
          <w:highlight w:val="none"/>
        </w:rPr>
        <w:t>，及其</w:t>
      </w:r>
      <w:r>
        <w:rPr>
          <w:rFonts w:hint="eastAsia" w:ascii="宋体" w:hAnsi="宋体" w:eastAsia="宋体" w:cs="宋体"/>
          <w:color w:val="000000"/>
          <w:kern w:val="0"/>
          <w:szCs w:val="24"/>
          <w:highlight w:val="none"/>
        </w:rPr>
        <w:t>合法继承人</w:t>
      </w:r>
      <w:r>
        <w:rPr>
          <w:rFonts w:hint="eastAsia" w:ascii="宋体" w:hAnsi="宋体" w:eastAsia="宋体" w:cs="宋体"/>
          <w:color w:val="000000"/>
          <w:szCs w:val="21"/>
          <w:highlight w:val="none"/>
        </w:rPr>
        <w:t>。</w:t>
      </w:r>
    </w:p>
    <w:p w14:paraId="70EF2F7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1.1.2.4 发包人代表：指由发包人任命，并在授权范围和期限内代表发包人行使权利和履行义务的全权负责人。</w:t>
      </w:r>
    </w:p>
    <w:p w14:paraId="3AD5DBD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1.1.2.5 项目负责人：指由</w:t>
      </w:r>
      <w:r>
        <w:rPr>
          <w:rFonts w:hint="eastAsia" w:ascii="宋体" w:hAnsi="宋体" w:eastAsia="宋体" w:cs="宋体"/>
          <w:color w:val="000000"/>
          <w:highlight w:val="none"/>
        </w:rPr>
        <w:t>勘察</w:t>
      </w:r>
      <w:r>
        <w:rPr>
          <w:rFonts w:hint="eastAsia" w:ascii="宋体" w:hAnsi="宋体" w:eastAsia="宋体" w:cs="宋体"/>
          <w:color w:val="000000"/>
          <w:szCs w:val="21"/>
          <w:highlight w:val="none"/>
        </w:rPr>
        <w:t>人任命，代表</w:t>
      </w:r>
      <w:r>
        <w:rPr>
          <w:rFonts w:hint="eastAsia" w:ascii="宋体" w:hAnsi="宋体" w:eastAsia="宋体" w:cs="宋体"/>
          <w:color w:val="000000"/>
          <w:highlight w:val="none"/>
        </w:rPr>
        <w:t>勘察</w:t>
      </w:r>
      <w:r>
        <w:rPr>
          <w:rFonts w:hint="eastAsia" w:ascii="宋体" w:hAnsi="宋体" w:eastAsia="宋体" w:cs="宋体"/>
          <w:color w:val="000000"/>
          <w:szCs w:val="21"/>
          <w:highlight w:val="none"/>
        </w:rPr>
        <w:t>人行使权利和履行义务的全权负责人。</w:t>
      </w:r>
    </w:p>
    <w:p w14:paraId="1760DC0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1.1.2.6 分包人：指从勘察人处分包合同中某一部分工作，并与其签订分包合同的分包人。</w:t>
      </w:r>
    </w:p>
    <w:p w14:paraId="045DDB47">
      <w:pPr>
        <w:pageBreakBefore w:val="0"/>
        <w:widowControl w:val="0"/>
        <w:kinsoku/>
        <w:wordWrap/>
        <w:overflowPunct/>
        <w:topLinePunct w:val="0"/>
        <w:autoSpaceDE/>
        <w:autoSpaceDN/>
        <w:bidi w:val="0"/>
        <w:adjustRightInd/>
        <w:snapToGrid/>
        <w:spacing w:line="360" w:lineRule="auto"/>
        <w:ind w:firstLine="394" w:firstLineChars="196"/>
        <w:textAlignment w:val="auto"/>
        <w:rPr>
          <w:rFonts w:hint="eastAsia" w:ascii="宋体" w:hAnsi="宋体" w:eastAsia="宋体" w:cs="宋体"/>
          <w:b/>
          <w:color w:val="000000"/>
          <w:highlight w:val="none"/>
        </w:rPr>
      </w:pPr>
      <w:r>
        <w:rPr>
          <w:rFonts w:hint="eastAsia" w:ascii="宋体" w:hAnsi="宋体" w:eastAsia="宋体" w:cs="宋体"/>
          <w:b/>
          <w:color w:val="000000"/>
          <w:highlight w:val="none"/>
        </w:rPr>
        <w:t>1.1.3 工程和勘察</w:t>
      </w:r>
    </w:p>
    <w:p w14:paraId="78875221">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1.1.3.1 工程：</w:t>
      </w:r>
      <w:r>
        <w:rPr>
          <w:rFonts w:hint="eastAsia" w:ascii="宋体" w:hAnsi="宋体" w:eastAsia="宋体" w:cs="宋体"/>
          <w:color w:val="000000"/>
          <w:highlight w:val="none"/>
        </w:rPr>
        <w:t>指专用合同条款中指明进行勘察招标的工程。</w:t>
      </w:r>
    </w:p>
    <w:p w14:paraId="694B2B4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1.1.3.2 勘察服务：指勘察人按照合同约定履行的服务，包括制订勘察纲要、进行测绘、勘探、取样和试验等，查明、分析和评估地质特征和工程条件，编制勘察报告和提供发包人委托的其他服务。</w:t>
      </w:r>
    </w:p>
    <w:p w14:paraId="3B546A7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1.1.3.3 勘察设备：指为完成合同约定的各项工作所需的设备、器具和其他物品，不包括临时工程和材料。</w:t>
      </w:r>
    </w:p>
    <w:p w14:paraId="3239182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1.1.3.4 勘探场地：指用于工程勘探的场所，以及在合同中指定作为勘探场地组成的其他场所。</w:t>
      </w:r>
    </w:p>
    <w:p w14:paraId="6162FAC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1.1.3.5勘察资料：是发包人按合同约定向勘察人提供的，用于完成勘察服务范围与内容所需要的资料。</w:t>
      </w:r>
    </w:p>
    <w:p w14:paraId="549A1B6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1.1.3.6勘察文件：指勘察人按合同约定向发包人提交的工程勘察报告、服务大纲、勘察方案、外业指导书、进度计划、图纸、计算书、软件和其他文件等，包括阶段性文件和最终文件，且应当采用合同中双方约定的格式和载体。</w:t>
      </w:r>
    </w:p>
    <w:p w14:paraId="2CEC16A6">
      <w:pPr>
        <w:pageBreakBefore w:val="0"/>
        <w:widowControl w:val="0"/>
        <w:kinsoku/>
        <w:wordWrap/>
        <w:overflowPunct/>
        <w:topLinePunct w:val="0"/>
        <w:autoSpaceDE/>
        <w:autoSpaceDN/>
        <w:bidi w:val="0"/>
        <w:adjustRightInd/>
        <w:snapToGrid/>
        <w:spacing w:line="360" w:lineRule="auto"/>
        <w:ind w:firstLine="394" w:firstLineChars="196"/>
        <w:textAlignment w:val="auto"/>
        <w:rPr>
          <w:rFonts w:hint="eastAsia" w:ascii="宋体" w:hAnsi="宋体" w:eastAsia="宋体" w:cs="宋体"/>
          <w:b/>
          <w:color w:val="000000"/>
          <w:highlight w:val="none"/>
        </w:rPr>
      </w:pPr>
      <w:r>
        <w:rPr>
          <w:rFonts w:hint="eastAsia" w:ascii="宋体" w:hAnsi="宋体" w:eastAsia="宋体" w:cs="宋体"/>
          <w:b/>
          <w:color w:val="000000"/>
          <w:highlight w:val="none"/>
        </w:rPr>
        <w:t>1.1.4 日期</w:t>
      </w:r>
    </w:p>
    <w:p w14:paraId="70060B0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1.1.4.1 开始勘察通知：指发包人按第6.1款通知勘察人开始勘察的函件。</w:t>
      </w:r>
    </w:p>
    <w:p w14:paraId="4262CC7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1.1.4.2 开始勘察日期：指发包人按第6.1款发出的开始勘察通知中写明的开始勘察日期。</w:t>
      </w:r>
    </w:p>
    <w:p w14:paraId="32E8892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1.1.4.3 勘察服务期限：指勘察人在投标函中承诺的完成合同勘察服务所需的期限，包括按第6.2款、第6.3款、第6.5款、和第6.7款约定所作的调整。</w:t>
      </w:r>
    </w:p>
    <w:p w14:paraId="73D75B27">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1.1.4.4 完成勘察日期：指第1.1.4.3目约定勘察服务期限届满时的日期。</w:t>
      </w:r>
    </w:p>
    <w:p w14:paraId="07044FC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1.1.4.5 基准日：指投标截止时间前28天的日期。</w:t>
      </w:r>
    </w:p>
    <w:p w14:paraId="3089780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1.1.4.6 天：除特别指明外，指日历天。合同中按天计算时间的，开始当天不计入，从次日开始计算。期限最后一天的截止时间为当天24:00。</w:t>
      </w:r>
    </w:p>
    <w:p w14:paraId="6BEE7D63">
      <w:pPr>
        <w:pageBreakBefore w:val="0"/>
        <w:widowControl w:val="0"/>
        <w:kinsoku/>
        <w:wordWrap/>
        <w:overflowPunct/>
        <w:topLinePunct w:val="0"/>
        <w:autoSpaceDE/>
        <w:autoSpaceDN/>
        <w:bidi w:val="0"/>
        <w:adjustRightInd/>
        <w:snapToGrid/>
        <w:spacing w:line="360" w:lineRule="auto"/>
        <w:ind w:firstLine="394" w:firstLineChars="196"/>
        <w:textAlignment w:val="auto"/>
        <w:rPr>
          <w:rFonts w:hint="eastAsia" w:ascii="宋体" w:hAnsi="宋体" w:eastAsia="宋体" w:cs="宋体"/>
          <w:b/>
          <w:color w:val="000000"/>
          <w:highlight w:val="none"/>
        </w:rPr>
      </w:pPr>
      <w:r>
        <w:rPr>
          <w:rFonts w:hint="eastAsia" w:ascii="宋体" w:hAnsi="宋体" w:eastAsia="宋体" w:cs="宋体"/>
          <w:b/>
          <w:color w:val="000000"/>
          <w:highlight w:val="none"/>
        </w:rPr>
        <w:t>1.1.5 合同价格和费用</w:t>
      </w:r>
    </w:p>
    <w:p w14:paraId="79387A5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1.1.5.1 签约合同价：指签订合同时合同协议书中写明的勘察费用总金额。</w:t>
      </w:r>
    </w:p>
    <w:p w14:paraId="2037BCA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1.1.5.2 合同价格：指勘察人按合同约定完成了全部勘察工作后，发包人应付给勘察人的金额，包括在履行合同过程中按合同约定进行的变更和调整。</w:t>
      </w:r>
    </w:p>
    <w:p w14:paraId="4C27303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1.1.5.3 费用：指为履行合同所发生的或将要发生的所有合理开支，包括管理费和应分摊的其他费用，但不包括利润。</w:t>
      </w:r>
    </w:p>
    <w:p w14:paraId="56303F26">
      <w:pPr>
        <w:pageBreakBefore w:val="0"/>
        <w:widowControl w:val="0"/>
        <w:kinsoku/>
        <w:wordWrap/>
        <w:overflowPunct/>
        <w:topLinePunct w:val="0"/>
        <w:autoSpaceDE/>
        <w:autoSpaceDN/>
        <w:bidi w:val="0"/>
        <w:adjustRightInd/>
        <w:snapToGrid/>
        <w:spacing w:line="360" w:lineRule="auto"/>
        <w:ind w:firstLine="394" w:firstLineChars="196"/>
        <w:textAlignment w:val="auto"/>
        <w:rPr>
          <w:rFonts w:hint="eastAsia" w:ascii="宋体" w:hAnsi="宋体" w:eastAsia="宋体" w:cs="宋体"/>
          <w:b/>
          <w:color w:val="000000"/>
          <w:highlight w:val="none"/>
        </w:rPr>
      </w:pPr>
      <w:r>
        <w:rPr>
          <w:rFonts w:hint="eastAsia" w:ascii="宋体" w:hAnsi="宋体" w:eastAsia="宋体" w:cs="宋体"/>
          <w:b/>
          <w:color w:val="000000"/>
          <w:highlight w:val="none"/>
        </w:rPr>
        <w:t>1.1.6 其他</w:t>
      </w:r>
    </w:p>
    <w:p w14:paraId="26A26D0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1.1.6.1 书面形式：指合同文件、信件和数据电文（包括电报、电传、传真、电子数据交换和电子邮件）等可以有形地表现所载内容的形式。</w:t>
      </w:r>
    </w:p>
    <w:p w14:paraId="41D1A413">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7" w:name="_Toc492300431"/>
      <w:bookmarkStart w:id="18" w:name="_Toc482188548"/>
      <w:r>
        <w:rPr>
          <w:rFonts w:hint="eastAsia" w:ascii="宋体" w:hAnsi="宋体" w:eastAsia="宋体" w:cs="宋体"/>
          <w:color w:val="000000"/>
          <w:highlight w:val="none"/>
        </w:rPr>
        <w:t>1.2 语言文字</w:t>
      </w:r>
      <w:bookmarkEnd w:id="17"/>
      <w:bookmarkEnd w:id="18"/>
    </w:p>
    <w:p w14:paraId="74788AE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合同使用的语言文字为中文。专用术语使用外文的，应附有中文注释。</w:t>
      </w:r>
    </w:p>
    <w:p w14:paraId="4241DF73">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9" w:name="_Toc482188549"/>
      <w:bookmarkStart w:id="20" w:name="_Toc492300432"/>
      <w:r>
        <w:rPr>
          <w:rFonts w:hint="eastAsia" w:ascii="宋体" w:hAnsi="宋体" w:eastAsia="宋体" w:cs="宋体"/>
          <w:color w:val="000000"/>
          <w:highlight w:val="none"/>
        </w:rPr>
        <w:t>1.3 适用法律</w:t>
      </w:r>
      <w:bookmarkEnd w:id="19"/>
      <w:bookmarkEnd w:id="20"/>
    </w:p>
    <w:p w14:paraId="5840BB1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适用于合同的法律包括中华人民共和国法律、行政法规、部门规章，以及工程所在地的地方法规、自治条例、单行条例和地方政府规章。</w:t>
      </w:r>
    </w:p>
    <w:p w14:paraId="22D759B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本合同适用的其他规范性文件，可在专用合同条款中约定。</w:t>
      </w:r>
    </w:p>
    <w:p w14:paraId="673C363A">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21" w:name="_Toc492300433"/>
      <w:bookmarkStart w:id="22" w:name="_Toc482188550"/>
      <w:r>
        <w:rPr>
          <w:rFonts w:hint="eastAsia" w:ascii="宋体" w:hAnsi="宋体" w:eastAsia="宋体" w:cs="宋体"/>
          <w:color w:val="000000"/>
          <w:highlight w:val="none"/>
        </w:rPr>
        <w:t>1.4 合同文件的优先顺序</w:t>
      </w:r>
      <w:bookmarkEnd w:id="21"/>
      <w:bookmarkEnd w:id="22"/>
    </w:p>
    <w:p w14:paraId="06FCE86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组成合同的各项文件应互相解释，互为说明。除专用合同条款另有约定外，解释合同文件的优先顺序如下：</w:t>
      </w:r>
    </w:p>
    <w:p w14:paraId="4D894292">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（1）合同协议书；</w:t>
      </w:r>
    </w:p>
    <w:p w14:paraId="5276263D">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（2）中标通知书；</w:t>
      </w:r>
    </w:p>
    <w:p w14:paraId="09E06490">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（3）投标函及投标函附录；</w:t>
      </w:r>
    </w:p>
    <w:p w14:paraId="76AFD50D">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（4）专用合同条款；</w:t>
      </w:r>
    </w:p>
    <w:p w14:paraId="0BDE4E7D">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（5）通用合同条款；</w:t>
      </w:r>
    </w:p>
    <w:p w14:paraId="777C4E06">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（6）发包人要求；</w:t>
      </w:r>
    </w:p>
    <w:p w14:paraId="0B019A1F">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（7）勘察费用清单；</w:t>
      </w:r>
    </w:p>
    <w:p w14:paraId="7E3B4D20">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（8）勘察纲要；</w:t>
      </w:r>
    </w:p>
    <w:p w14:paraId="2ED09AC2">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（9）其他合同</w:t>
      </w:r>
      <w:r>
        <w:rPr>
          <w:rFonts w:hint="eastAsia" w:ascii="宋体" w:hAnsi="宋体" w:eastAsia="宋体" w:cs="宋体"/>
          <w:color w:val="000000"/>
          <w:szCs w:val="21"/>
          <w:highlight w:val="none"/>
        </w:rPr>
        <w:t>文件。</w:t>
      </w:r>
    </w:p>
    <w:p w14:paraId="1A071D58">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23" w:name="_Toc482188551"/>
      <w:bookmarkStart w:id="24" w:name="_Toc492300434"/>
      <w:r>
        <w:rPr>
          <w:rFonts w:hint="eastAsia" w:ascii="宋体" w:hAnsi="宋体" w:eastAsia="宋体" w:cs="宋体"/>
          <w:color w:val="000000"/>
          <w:highlight w:val="none"/>
        </w:rPr>
        <w:t>1.5 合同协议书</w:t>
      </w:r>
      <w:bookmarkEnd w:id="23"/>
      <w:bookmarkEnd w:id="24"/>
    </w:p>
    <w:p w14:paraId="5F6990A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勘察人按中标通知书规定的时间与发包人签订合同协议书。除法律另有规定或合同另有约定外，发包人和勘察人的法定代表人或其委托代理人在合同协议书上签字并盖单位章后，合同生效。</w:t>
      </w:r>
    </w:p>
    <w:p w14:paraId="03B125CD">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25" w:name="_Toc492300435"/>
      <w:bookmarkStart w:id="26" w:name="_Toc482188552"/>
      <w:r>
        <w:rPr>
          <w:rFonts w:hint="eastAsia" w:ascii="宋体" w:hAnsi="宋体" w:eastAsia="宋体" w:cs="宋体"/>
          <w:color w:val="000000"/>
          <w:highlight w:val="none"/>
        </w:rPr>
        <w:t>1.6 文件的提供和照管</w:t>
      </w:r>
      <w:bookmarkEnd w:id="25"/>
      <w:bookmarkEnd w:id="26"/>
    </w:p>
    <w:p w14:paraId="69712696">
      <w:pPr>
        <w:pageBreakBefore w:val="0"/>
        <w:widowControl w:val="0"/>
        <w:kinsoku/>
        <w:wordWrap/>
        <w:overflowPunct/>
        <w:topLinePunct w:val="0"/>
        <w:autoSpaceDE/>
        <w:autoSpaceDN/>
        <w:bidi w:val="0"/>
        <w:adjustRightInd/>
        <w:snapToGrid/>
        <w:spacing w:line="360" w:lineRule="auto"/>
        <w:ind w:firstLine="402" w:firstLineChars="200"/>
        <w:textAlignment w:val="auto"/>
        <w:rPr>
          <w:rFonts w:hint="eastAsia" w:ascii="宋体" w:hAnsi="宋体" w:eastAsia="宋体" w:cs="宋体"/>
          <w:b/>
          <w:color w:val="000000"/>
          <w:highlight w:val="none"/>
        </w:rPr>
      </w:pPr>
      <w:r>
        <w:rPr>
          <w:rFonts w:hint="eastAsia" w:ascii="宋体" w:hAnsi="宋体" w:eastAsia="宋体" w:cs="宋体"/>
          <w:b/>
          <w:color w:val="000000"/>
          <w:highlight w:val="none"/>
        </w:rPr>
        <w:t>1.6.1 勘察文件的提供</w:t>
      </w:r>
    </w:p>
    <w:p w14:paraId="42518A5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除专用合同条款另有约定外，勘察人应在合理的期限内按照合同约定的数量向发包人提供勘察文件。合同约定勘察文件应经发包人批复的，发包人应当在合同约定的期限内批复或提出修改意见。</w:t>
      </w:r>
    </w:p>
    <w:p w14:paraId="6A5F2A70">
      <w:pPr>
        <w:pageBreakBefore w:val="0"/>
        <w:widowControl w:val="0"/>
        <w:kinsoku/>
        <w:wordWrap/>
        <w:overflowPunct/>
        <w:topLinePunct w:val="0"/>
        <w:autoSpaceDE/>
        <w:autoSpaceDN/>
        <w:bidi w:val="0"/>
        <w:adjustRightInd/>
        <w:snapToGrid/>
        <w:spacing w:line="360" w:lineRule="auto"/>
        <w:ind w:firstLine="402" w:firstLineChars="200"/>
        <w:textAlignment w:val="auto"/>
        <w:rPr>
          <w:rFonts w:hint="eastAsia" w:ascii="宋体" w:hAnsi="宋体" w:eastAsia="宋体" w:cs="宋体"/>
          <w:b/>
          <w:color w:val="000000"/>
          <w:highlight w:val="none"/>
        </w:rPr>
      </w:pPr>
      <w:r>
        <w:rPr>
          <w:rFonts w:hint="eastAsia" w:ascii="宋体" w:hAnsi="宋体" w:eastAsia="宋体" w:cs="宋体"/>
          <w:b/>
          <w:color w:val="000000"/>
          <w:highlight w:val="none"/>
        </w:rPr>
        <w:t>1.6.2 发包人提供的文件</w:t>
      </w:r>
    </w:p>
    <w:p w14:paraId="48010DF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按专用合同条款约定由发包人提供的文件，包括基础资料、勘察任务书等，发包人应按约定的数量和期限交给勘察人。由于发包人未按时提供文件造成勘察服务期限延误的，按第</w:t>
      </w:r>
      <w:r>
        <w:rPr>
          <w:rFonts w:hint="eastAsia" w:ascii="宋体" w:hAnsi="宋体" w:eastAsia="宋体" w:cs="宋体"/>
          <w:color w:val="000000"/>
          <w:highlight w:val="none"/>
        </w:rPr>
        <w:t>6.2</w:t>
      </w:r>
      <w:r>
        <w:rPr>
          <w:rFonts w:hint="eastAsia" w:ascii="宋体" w:hAnsi="宋体" w:eastAsia="宋体" w:cs="宋体"/>
          <w:color w:val="000000"/>
          <w:szCs w:val="21"/>
          <w:highlight w:val="none"/>
        </w:rPr>
        <w:t>款约定执行。</w:t>
      </w:r>
    </w:p>
    <w:p w14:paraId="4929D355">
      <w:pPr>
        <w:pageBreakBefore w:val="0"/>
        <w:widowControl w:val="0"/>
        <w:kinsoku/>
        <w:wordWrap/>
        <w:overflowPunct/>
        <w:topLinePunct w:val="0"/>
        <w:autoSpaceDE/>
        <w:autoSpaceDN/>
        <w:bidi w:val="0"/>
        <w:adjustRightInd/>
        <w:snapToGrid/>
        <w:spacing w:line="360" w:lineRule="auto"/>
        <w:ind w:firstLine="402" w:firstLineChars="200"/>
        <w:textAlignment w:val="auto"/>
        <w:rPr>
          <w:rFonts w:hint="eastAsia" w:ascii="宋体" w:hAnsi="宋体" w:eastAsia="宋体" w:cs="宋体"/>
          <w:b/>
          <w:color w:val="000000"/>
          <w:szCs w:val="21"/>
          <w:highlight w:val="none"/>
        </w:rPr>
      </w:pPr>
      <w:r>
        <w:rPr>
          <w:rFonts w:hint="eastAsia" w:ascii="宋体" w:hAnsi="宋体" w:eastAsia="宋体" w:cs="宋体"/>
          <w:b/>
          <w:color w:val="000000"/>
          <w:highlight w:val="none"/>
        </w:rPr>
        <w:t>1.6.3 文件错误的通知</w:t>
      </w:r>
    </w:p>
    <w:p w14:paraId="141BF9C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任何一方当事人发现文件中存在的明显错误或疏忽，均应及时通知对方当事人，并应立即采取适当的措施防止损失扩大。</w:t>
      </w:r>
    </w:p>
    <w:p w14:paraId="26B2643B">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27" w:name="_Toc482188553"/>
      <w:bookmarkStart w:id="28" w:name="_Toc492300436"/>
      <w:r>
        <w:rPr>
          <w:rFonts w:hint="eastAsia" w:ascii="宋体" w:hAnsi="宋体" w:eastAsia="宋体" w:cs="宋体"/>
          <w:color w:val="000000"/>
          <w:highlight w:val="none"/>
        </w:rPr>
        <w:t>1.7 联络</w:t>
      </w:r>
      <w:bookmarkEnd w:id="27"/>
      <w:bookmarkEnd w:id="28"/>
    </w:p>
    <w:p w14:paraId="667F5BB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1.7.1</w:t>
      </w:r>
      <w:r>
        <w:rPr>
          <w:rFonts w:hint="eastAsia" w:ascii="宋体" w:hAnsi="宋体" w:eastAsia="宋体" w:cs="宋体"/>
          <w:color w:val="000000"/>
          <w:szCs w:val="21"/>
          <w:highlight w:val="none"/>
        </w:rPr>
        <w:t>与合同有关的通知、批准、证明、证书、指示、要求、请求、同意、意见、确定和决定等，均应采用书面形式。</w:t>
      </w:r>
    </w:p>
    <w:p w14:paraId="62889E4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1.7.2</w:t>
      </w:r>
      <w:r>
        <w:rPr>
          <w:rFonts w:hint="eastAsia" w:ascii="宋体" w:hAnsi="宋体" w:eastAsia="宋体" w:cs="宋体"/>
          <w:color w:val="000000"/>
          <w:szCs w:val="21"/>
          <w:highlight w:val="none"/>
        </w:rPr>
        <w:t>上述通知、批准、证明、证书、指示、要求、请求、同意、意见、确定和决定等来往函件，均应在合同约定的期限内送达指定的地点和指定的接收人，并办理签收手续。</w:t>
      </w:r>
    </w:p>
    <w:p w14:paraId="287D46A3">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29" w:name="_Toc482188554"/>
      <w:bookmarkStart w:id="30" w:name="_Toc492300437"/>
      <w:r>
        <w:rPr>
          <w:rFonts w:hint="eastAsia" w:ascii="宋体" w:hAnsi="宋体" w:eastAsia="宋体" w:cs="宋体"/>
          <w:color w:val="000000"/>
          <w:highlight w:val="none"/>
        </w:rPr>
        <w:t>1.8 转让</w:t>
      </w:r>
      <w:bookmarkEnd w:id="29"/>
      <w:bookmarkEnd w:id="30"/>
    </w:p>
    <w:p w14:paraId="44DE8B1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除专用合同条款另有约定外，未经对方当事人同意，一方当事人不得将合同权利全部或部分转让给第三人，也不得全部或部分转移合同义务。</w:t>
      </w:r>
    </w:p>
    <w:p w14:paraId="1920B5B5">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31" w:name="_Toc492300438"/>
      <w:bookmarkStart w:id="32" w:name="_Toc482188555"/>
      <w:r>
        <w:rPr>
          <w:rFonts w:hint="eastAsia" w:ascii="宋体" w:hAnsi="宋体" w:eastAsia="宋体" w:cs="宋体"/>
          <w:color w:val="000000"/>
          <w:highlight w:val="none"/>
        </w:rPr>
        <w:t>1.9 严禁贿赂</w:t>
      </w:r>
      <w:bookmarkEnd w:id="31"/>
      <w:bookmarkEnd w:id="32"/>
    </w:p>
    <w:p w14:paraId="535E26E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合同双方当事人不得以贿赂或变相贿赂的方式，谋取不当利益或损害对方权益。因贿赂造成对方当事人损失的，行为人应当赔偿损失，并承担相应的法律责任。</w:t>
      </w:r>
    </w:p>
    <w:p w14:paraId="3DDC301F">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33" w:name="_Toc482188556"/>
      <w:bookmarkStart w:id="34" w:name="_Toc492300439"/>
      <w:r>
        <w:rPr>
          <w:rFonts w:hint="eastAsia" w:ascii="宋体" w:hAnsi="宋体" w:eastAsia="宋体" w:cs="宋体"/>
          <w:color w:val="000000"/>
          <w:highlight w:val="none"/>
        </w:rPr>
        <w:t>1.10 知识产权</w:t>
      </w:r>
      <w:bookmarkEnd w:id="33"/>
      <w:bookmarkEnd w:id="34"/>
    </w:p>
    <w:p w14:paraId="2F85C9F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1.10.1除专用合同条款另有约定外，</w:t>
      </w:r>
      <w:r>
        <w:rPr>
          <w:rFonts w:hint="eastAsia" w:ascii="宋体" w:hAnsi="宋体" w:eastAsia="宋体" w:cs="宋体"/>
          <w:color w:val="000000"/>
          <w:szCs w:val="21"/>
          <w:highlight w:val="none"/>
        </w:rPr>
        <w:t>勘察人完成的勘察工作成果，除署名权以外的著作权和其他知识产权均归发包人享有。</w:t>
      </w:r>
    </w:p>
    <w:p w14:paraId="10AFE2B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 xml:space="preserve">1.10.2 </w:t>
      </w:r>
      <w:r>
        <w:rPr>
          <w:rFonts w:hint="eastAsia" w:ascii="宋体" w:hAnsi="宋体" w:eastAsia="宋体" w:cs="宋体"/>
          <w:color w:val="000000"/>
          <w:szCs w:val="21"/>
          <w:highlight w:val="none"/>
        </w:rPr>
        <w:t>勘察人在从事勘察活动时，不得侵犯他人的知识产权。因侵犯专利权或其他知识产权所引起的责任，由勘察人自行承担。因发包人提供的勘察资料导致侵权的，由发包人承担责任。</w:t>
      </w:r>
    </w:p>
    <w:p w14:paraId="58D4DF4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 xml:space="preserve">1.10.3 </w:t>
      </w:r>
      <w:r>
        <w:rPr>
          <w:rFonts w:hint="eastAsia" w:ascii="宋体" w:hAnsi="宋体" w:eastAsia="宋体" w:cs="宋体"/>
          <w:color w:val="000000"/>
          <w:szCs w:val="21"/>
          <w:highlight w:val="none"/>
        </w:rPr>
        <w:t>勘察人在投标文件中采用专利技术、专有技术的，相应的使用费视为已包含在投标报价之中。</w:t>
      </w:r>
    </w:p>
    <w:p w14:paraId="083F2588">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35" w:name="_Toc482188557"/>
      <w:bookmarkStart w:id="36" w:name="_Toc492300440"/>
      <w:r>
        <w:rPr>
          <w:rFonts w:hint="eastAsia" w:ascii="宋体" w:hAnsi="宋体" w:eastAsia="宋体" w:cs="宋体"/>
          <w:color w:val="000000"/>
          <w:highlight w:val="none"/>
        </w:rPr>
        <w:t>1.11 文件及信息的保密</w:t>
      </w:r>
      <w:bookmarkEnd w:id="35"/>
      <w:bookmarkEnd w:id="36"/>
    </w:p>
    <w:p w14:paraId="0EEF3DF1">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未经对方同意，任何一方当事人不得将有关文件、技术秘密、需要保密的资料和信息泄露给他人或公开发表与引用。</w:t>
      </w:r>
    </w:p>
    <w:p w14:paraId="28BB06AC">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37" w:name="_Toc492300441"/>
      <w:bookmarkStart w:id="38" w:name="_Toc482188558"/>
      <w:r>
        <w:rPr>
          <w:rFonts w:hint="eastAsia" w:ascii="宋体" w:hAnsi="宋体" w:eastAsia="宋体" w:cs="宋体"/>
          <w:color w:val="000000"/>
          <w:highlight w:val="none"/>
        </w:rPr>
        <w:t>1.12 发包人要求</w:t>
      </w:r>
      <w:bookmarkEnd w:id="37"/>
      <w:bookmarkEnd w:id="38"/>
    </w:p>
    <w:p w14:paraId="701F371F">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 xml:space="preserve">1.12.1 </w:t>
      </w:r>
      <w:r>
        <w:rPr>
          <w:rFonts w:hint="eastAsia" w:ascii="宋体" w:hAnsi="宋体" w:eastAsia="宋体" w:cs="宋体"/>
          <w:color w:val="000000"/>
          <w:szCs w:val="21"/>
          <w:highlight w:val="none"/>
        </w:rPr>
        <w:t>勘察人应认真阅读、复核发包人要求，</w:t>
      </w:r>
      <w:r>
        <w:rPr>
          <w:rFonts w:hint="eastAsia" w:ascii="宋体" w:hAnsi="宋体" w:eastAsia="宋体" w:cs="宋体"/>
          <w:color w:val="000000"/>
          <w:highlight w:val="none"/>
        </w:rPr>
        <w:t>发现错误的，应及时书面通知发包人。无论是否存在错误，发包人均有权修改发包人要求，并在修改后3日内通知</w:t>
      </w:r>
      <w:r>
        <w:rPr>
          <w:rFonts w:hint="eastAsia" w:ascii="宋体" w:hAnsi="宋体" w:eastAsia="宋体" w:cs="宋体"/>
          <w:color w:val="000000"/>
          <w:szCs w:val="21"/>
          <w:highlight w:val="none"/>
        </w:rPr>
        <w:t>勘察</w:t>
      </w:r>
      <w:r>
        <w:rPr>
          <w:rFonts w:hint="eastAsia" w:ascii="宋体" w:hAnsi="宋体" w:eastAsia="宋体" w:cs="宋体"/>
          <w:color w:val="000000"/>
          <w:highlight w:val="none"/>
        </w:rPr>
        <w:t>人。除专用合同</w:t>
      </w:r>
      <w:bookmarkStart w:id="39" w:name="_Toc247514048"/>
      <w:bookmarkStart w:id="40" w:name="_Toc265955390"/>
      <w:bookmarkStart w:id="41" w:name="_Toc247527649"/>
      <w:bookmarkStart w:id="42" w:name="_Toc300835045"/>
      <w:r>
        <w:rPr>
          <w:rFonts w:hint="eastAsia" w:ascii="宋体" w:hAnsi="宋体" w:eastAsia="宋体" w:cs="宋体"/>
          <w:color w:val="000000"/>
          <w:highlight w:val="none"/>
        </w:rPr>
        <w:t>条款另有约定外，由此</w:t>
      </w:r>
      <w:bookmarkEnd w:id="39"/>
      <w:bookmarkEnd w:id="40"/>
      <w:bookmarkEnd w:id="41"/>
      <w:bookmarkEnd w:id="42"/>
      <w:r>
        <w:rPr>
          <w:rFonts w:hint="eastAsia" w:ascii="宋体" w:hAnsi="宋体" w:eastAsia="宋体" w:cs="宋体"/>
          <w:color w:val="000000"/>
          <w:szCs w:val="21"/>
          <w:highlight w:val="none"/>
        </w:rPr>
        <w:t>导致勘察人费用增加和(或)周期延误的，发包人应当相应地增加费用和(或)延长周期。</w:t>
      </w:r>
    </w:p>
    <w:p w14:paraId="734BABD1">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1.12.2 如果</w:t>
      </w:r>
      <w:r>
        <w:rPr>
          <w:rFonts w:hint="eastAsia" w:ascii="宋体" w:hAnsi="宋体" w:eastAsia="宋体" w:cs="宋体"/>
          <w:color w:val="000000"/>
          <w:szCs w:val="21"/>
          <w:highlight w:val="none"/>
        </w:rPr>
        <w:t>发包人要求违反法律规定，勘察人应在</w:t>
      </w:r>
      <w:r>
        <w:rPr>
          <w:rFonts w:hint="eastAsia" w:ascii="宋体" w:hAnsi="宋体" w:eastAsia="宋体" w:cs="宋体"/>
          <w:color w:val="000000"/>
          <w:highlight w:val="none"/>
        </w:rPr>
        <w:t>发现后及时书面通知发包人，要求其改正。发包人收到通知书后不予改正或不予答复的，</w:t>
      </w:r>
      <w:r>
        <w:rPr>
          <w:rFonts w:hint="eastAsia" w:ascii="宋体" w:hAnsi="宋体" w:eastAsia="宋体" w:cs="宋体"/>
          <w:color w:val="000000"/>
          <w:szCs w:val="21"/>
          <w:highlight w:val="none"/>
        </w:rPr>
        <w:t>勘察</w:t>
      </w:r>
      <w:r>
        <w:rPr>
          <w:rFonts w:hint="eastAsia" w:ascii="宋体" w:hAnsi="宋体" w:eastAsia="宋体" w:cs="宋体"/>
          <w:color w:val="000000"/>
          <w:highlight w:val="none"/>
        </w:rPr>
        <w:t>人有权拒绝履行合同义务，直至解除合同；</w:t>
      </w:r>
      <w:r>
        <w:rPr>
          <w:rFonts w:hint="eastAsia" w:ascii="宋体" w:hAnsi="宋体" w:eastAsia="宋体" w:cs="宋体"/>
          <w:color w:val="000000"/>
          <w:szCs w:val="21"/>
          <w:highlight w:val="none"/>
        </w:rPr>
        <w:t>由此引起的勘察人的全部损失由发包人承担。</w:t>
      </w:r>
    </w:p>
    <w:p w14:paraId="799C3F39">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43" w:name="_Toc492300442"/>
      <w:bookmarkStart w:id="44" w:name="_Toc117059895"/>
      <w:bookmarkStart w:id="45" w:name="_Toc482188559"/>
      <w:r>
        <w:rPr>
          <w:rFonts w:hint="eastAsia" w:ascii="宋体" w:hAnsi="宋体" w:eastAsia="宋体" w:cs="宋体"/>
          <w:color w:val="000000"/>
          <w:highlight w:val="none"/>
        </w:rPr>
        <w:t>2. 发包人义务</w:t>
      </w:r>
      <w:bookmarkEnd w:id="43"/>
      <w:bookmarkEnd w:id="44"/>
      <w:bookmarkEnd w:id="45"/>
    </w:p>
    <w:p w14:paraId="43D51871">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46" w:name="_Toc492300443"/>
      <w:bookmarkStart w:id="47" w:name="_Toc482188560"/>
      <w:r>
        <w:rPr>
          <w:rFonts w:hint="eastAsia" w:ascii="宋体" w:hAnsi="宋体" w:eastAsia="宋体" w:cs="宋体"/>
          <w:color w:val="000000"/>
          <w:highlight w:val="none"/>
        </w:rPr>
        <w:t>2.1 遵守法律</w:t>
      </w:r>
      <w:bookmarkEnd w:id="46"/>
      <w:bookmarkEnd w:id="47"/>
    </w:p>
    <w:p w14:paraId="3273E22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szCs w:val="21"/>
          <w:highlight w:val="none"/>
        </w:rPr>
        <w:t>发包人在履行合同过程中应遵守法律，并保证勘察人免于承担因发包人违反法律而引起的</w:t>
      </w:r>
      <w:bookmarkStart w:id="48" w:name="_Toc247514049"/>
      <w:bookmarkStart w:id="49" w:name="_Toc184635099"/>
      <w:bookmarkStart w:id="50" w:name="_Toc385592087"/>
      <w:bookmarkStart w:id="51" w:name="_Toc300835048"/>
      <w:bookmarkStart w:id="52" w:name="_Toc385942918"/>
      <w:bookmarkStart w:id="53" w:name="_Toc370281722"/>
      <w:bookmarkStart w:id="54" w:name="_Toc247527650"/>
      <w:r>
        <w:rPr>
          <w:rFonts w:hint="eastAsia" w:ascii="宋体" w:hAnsi="宋体" w:eastAsia="宋体" w:cs="宋体"/>
          <w:color w:val="000000"/>
          <w:szCs w:val="21"/>
          <w:highlight w:val="none"/>
        </w:rPr>
        <w:t>任何责任。</w:t>
      </w:r>
    </w:p>
    <w:p w14:paraId="7361E919">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55" w:name="_Toc492300444"/>
      <w:bookmarkStart w:id="56" w:name="_Toc482188561"/>
      <w:r>
        <w:rPr>
          <w:rFonts w:hint="eastAsia" w:ascii="宋体" w:hAnsi="宋体" w:eastAsia="宋体" w:cs="宋体"/>
          <w:color w:val="000000"/>
          <w:highlight w:val="none"/>
        </w:rPr>
        <w:t>2</w:t>
      </w:r>
      <w:bookmarkEnd w:id="48"/>
      <w:bookmarkEnd w:id="49"/>
      <w:bookmarkEnd w:id="50"/>
      <w:bookmarkEnd w:id="51"/>
      <w:bookmarkEnd w:id="52"/>
      <w:bookmarkEnd w:id="53"/>
      <w:bookmarkEnd w:id="54"/>
      <w:r>
        <w:rPr>
          <w:rFonts w:hint="eastAsia" w:ascii="宋体" w:hAnsi="宋体" w:eastAsia="宋体" w:cs="宋体"/>
          <w:color w:val="000000"/>
          <w:highlight w:val="none"/>
        </w:rPr>
        <w:t>.2</w:t>
      </w:r>
      <w:bookmarkStart w:id="57" w:name="_Toc247514050"/>
      <w:bookmarkStart w:id="58" w:name="_Toc300835049"/>
      <w:bookmarkStart w:id="59" w:name="_Toc247527651"/>
      <w:bookmarkStart w:id="60" w:name="_Toc247514053"/>
      <w:bookmarkStart w:id="61" w:name="_Toc370281723"/>
      <w:bookmarkStart w:id="62" w:name="_Toc247527654"/>
      <w:bookmarkStart w:id="63" w:name="_Toc385942919"/>
      <w:bookmarkStart w:id="64" w:name="_Toc300835052"/>
      <w:r>
        <w:rPr>
          <w:rFonts w:hint="eastAsia" w:ascii="宋体" w:hAnsi="宋体" w:eastAsia="宋体" w:cs="宋体"/>
          <w:color w:val="000000"/>
          <w:highlight w:val="none"/>
        </w:rPr>
        <w:t>发出开始勘察通</w:t>
      </w:r>
      <w:bookmarkEnd w:id="57"/>
      <w:bookmarkEnd w:id="58"/>
      <w:bookmarkEnd w:id="59"/>
      <w:r>
        <w:rPr>
          <w:rFonts w:hint="eastAsia" w:ascii="宋体" w:hAnsi="宋体" w:eastAsia="宋体" w:cs="宋体"/>
          <w:color w:val="000000"/>
          <w:highlight w:val="none"/>
        </w:rPr>
        <w:t>知</w:t>
      </w:r>
      <w:bookmarkEnd w:id="55"/>
      <w:bookmarkEnd w:id="56"/>
    </w:p>
    <w:p w14:paraId="29E48BC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发包人应按第6.1款的约定向勘察人发出开始勘察通知。</w:t>
      </w:r>
    </w:p>
    <w:p w14:paraId="59273A91">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65" w:name="_Toc482188562"/>
      <w:bookmarkStart w:id="66" w:name="_Toc492300445"/>
      <w:r>
        <w:rPr>
          <w:rFonts w:hint="eastAsia" w:ascii="宋体" w:hAnsi="宋体" w:eastAsia="宋体" w:cs="宋体"/>
          <w:color w:val="000000"/>
          <w:highlight w:val="none"/>
        </w:rPr>
        <w:t>2.</w:t>
      </w:r>
      <w:bookmarkStart w:id="67" w:name="_Toc247514052"/>
      <w:bookmarkStart w:id="68" w:name="_Toc300835051"/>
      <w:bookmarkStart w:id="69" w:name="_Toc247527653"/>
      <w:r>
        <w:rPr>
          <w:rFonts w:hint="eastAsia" w:ascii="宋体" w:hAnsi="宋体" w:eastAsia="宋体" w:cs="宋体"/>
          <w:color w:val="000000"/>
          <w:highlight w:val="none"/>
        </w:rPr>
        <w:t>3 办理证件</w:t>
      </w:r>
      <w:bookmarkEnd w:id="67"/>
      <w:bookmarkEnd w:id="68"/>
      <w:bookmarkEnd w:id="69"/>
      <w:r>
        <w:rPr>
          <w:rFonts w:hint="eastAsia" w:ascii="宋体" w:hAnsi="宋体" w:eastAsia="宋体" w:cs="宋体"/>
          <w:color w:val="000000"/>
          <w:highlight w:val="none"/>
        </w:rPr>
        <w:t>和批件</w:t>
      </w:r>
      <w:bookmarkEnd w:id="65"/>
      <w:bookmarkEnd w:id="66"/>
    </w:p>
    <w:p w14:paraId="0B07BB11">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法律规定和（或）合同约定由发包人负责办理的工程建设项目必须履行的各类审批、核准或备案手续，发包人应当按时办理，勘察人应给予必要的协助。</w:t>
      </w:r>
    </w:p>
    <w:p w14:paraId="170483B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法律规定和（或）合同约定由勘察人负责办理的勘察所需的证件和批件，发包人应给予必要的协助。</w:t>
      </w:r>
    </w:p>
    <w:p w14:paraId="184E13F6">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70" w:name="_Toc492300446"/>
      <w:bookmarkStart w:id="71" w:name="_Toc482188563"/>
      <w:r>
        <w:rPr>
          <w:rFonts w:hint="eastAsia" w:ascii="宋体" w:hAnsi="宋体" w:eastAsia="宋体" w:cs="宋体"/>
          <w:color w:val="000000"/>
          <w:highlight w:val="none"/>
        </w:rPr>
        <w:t>2.4 支付合同价款</w:t>
      </w:r>
      <w:bookmarkEnd w:id="70"/>
      <w:bookmarkEnd w:id="71"/>
    </w:p>
    <w:p w14:paraId="296BCCB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发包人应按合同约定向勘察人及时支付合同价款。</w:t>
      </w:r>
    </w:p>
    <w:p w14:paraId="563EE4F9">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72" w:name="_Toc492300447"/>
      <w:bookmarkStart w:id="73" w:name="_Toc482188564"/>
      <w:bookmarkStart w:id="74" w:name="_Toc474833987"/>
      <w:r>
        <w:rPr>
          <w:rFonts w:hint="eastAsia" w:ascii="宋体" w:hAnsi="宋体" w:eastAsia="宋体" w:cs="宋体"/>
          <w:color w:val="000000"/>
          <w:highlight w:val="none"/>
        </w:rPr>
        <w:t>2.5 提供勘察资料</w:t>
      </w:r>
      <w:bookmarkEnd w:id="72"/>
      <w:bookmarkEnd w:id="73"/>
      <w:bookmarkEnd w:id="74"/>
    </w:p>
    <w:p w14:paraId="353C2A1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发包人应按第1.6.2项的约定向勘察人提供勘察资料。</w:t>
      </w:r>
    </w:p>
    <w:bookmarkEnd w:id="60"/>
    <w:bookmarkEnd w:id="61"/>
    <w:bookmarkEnd w:id="62"/>
    <w:bookmarkEnd w:id="63"/>
    <w:bookmarkEnd w:id="64"/>
    <w:p w14:paraId="01B91D67">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75" w:name="_Toc482188565"/>
      <w:bookmarkStart w:id="76" w:name="_Toc492300448"/>
      <w:r>
        <w:rPr>
          <w:rFonts w:hint="eastAsia" w:ascii="宋体" w:hAnsi="宋体" w:eastAsia="宋体" w:cs="宋体"/>
          <w:color w:val="000000"/>
          <w:highlight w:val="none"/>
        </w:rPr>
        <w:t>2.6 其他义务</w:t>
      </w:r>
      <w:bookmarkEnd w:id="75"/>
      <w:bookmarkEnd w:id="76"/>
    </w:p>
    <w:p w14:paraId="52F84D7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发包人应履行合同约定的其他义务</w:t>
      </w:r>
      <w:bookmarkStart w:id="77" w:name="_Toc370281728"/>
      <w:bookmarkStart w:id="78" w:name="_Toc385942924"/>
      <w:r>
        <w:rPr>
          <w:rFonts w:hint="eastAsia" w:ascii="宋体" w:hAnsi="宋体" w:eastAsia="宋体" w:cs="宋体"/>
          <w:color w:val="000000"/>
          <w:szCs w:val="21"/>
          <w:highlight w:val="none"/>
        </w:rPr>
        <w:t>。</w:t>
      </w:r>
    </w:p>
    <w:p w14:paraId="10C5B644">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79" w:name="_Toc482188566"/>
      <w:bookmarkStart w:id="80" w:name="_Toc117059896"/>
      <w:bookmarkStart w:id="81" w:name="_Toc492300449"/>
      <w:r>
        <w:rPr>
          <w:rFonts w:hint="eastAsia" w:ascii="宋体" w:hAnsi="宋体" w:eastAsia="宋体" w:cs="宋体"/>
          <w:color w:val="000000"/>
          <w:highlight w:val="none"/>
        </w:rPr>
        <w:t>3. 发包人管</w:t>
      </w:r>
      <w:bookmarkEnd w:id="77"/>
      <w:bookmarkEnd w:id="78"/>
      <w:r>
        <w:rPr>
          <w:rFonts w:hint="eastAsia" w:ascii="宋体" w:hAnsi="宋体" w:eastAsia="宋体" w:cs="宋体"/>
          <w:color w:val="000000"/>
          <w:highlight w:val="none"/>
        </w:rPr>
        <w:t>理</w:t>
      </w:r>
      <w:bookmarkEnd w:id="79"/>
      <w:bookmarkEnd w:id="80"/>
      <w:bookmarkEnd w:id="81"/>
    </w:p>
    <w:p w14:paraId="1DDC9C8F">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82" w:name="_Toc482188567"/>
      <w:bookmarkStart w:id="83" w:name="_Toc492300450"/>
      <w:r>
        <w:rPr>
          <w:rFonts w:hint="eastAsia" w:ascii="宋体" w:hAnsi="宋体" w:eastAsia="宋体" w:cs="宋体"/>
          <w:color w:val="000000"/>
          <w:highlight w:val="none"/>
        </w:rPr>
        <w:t>3.1 发包人代表</w:t>
      </w:r>
      <w:bookmarkEnd w:id="82"/>
      <w:bookmarkEnd w:id="83"/>
    </w:p>
    <w:p w14:paraId="683C903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3.1.1除专用合同条款</w:t>
      </w:r>
      <w:bookmarkStart w:id="84" w:name="_Toc370281729"/>
      <w:bookmarkStart w:id="85" w:name="_Toc385942925"/>
      <w:bookmarkStart w:id="86" w:name="_Toc300835055"/>
      <w:bookmarkStart w:id="87" w:name="_Toc247514057"/>
      <w:bookmarkStart w:id="88" w:name="_Toc247527658"/>
      <w:r>
        <w:rPr>
          <w:rFonts w:hint="eastAsia" w:ascii="宋体" w:hAnsi="宋体" w:eastAsia="宋体" w:cs="宋体"/>
          <w:color w:val="000000"/>
          <w:highlight w:val="none"/>
        </w:rPr>
        <w:t>另有约定外，发包</w:t>
      </w:r>
      <w:bookmarkEnd w:id="84"/>
      <w:bookmarkEnd w:id="85"/>
      <w:bookmarkEnd w:id="86"/>
      <w:bookmarkEnd w:id="87"/>
      <w:bookmarkEnd w:id="88"/>
      <w:r>
        <w:rPr>
          <w:rFonts w:hint="eastAsia" w:ascii="宋体" w:hAnsi="宋体" w:eastAsia="宋体" w:cs="宋体"/>
          <w:color w:val="000000"/>
          <w:highlight w:val="none"/>
        </w:rPr>
        <w:t>人应在合同签订后14天内，将发包人代</w:t>
      </w:r>
      <w:bookmarkStart w:id="89" w:name="_Toc247514058"/>
      <w:bookmarkStart w:id="90" w:name="_Toc184635100"/>
      <w:bookmarkStart w:id="91" w:name="_Toc300835056"/>
      <w:bookmarkStart w:id="92" w:name="_Toc247527659"/>
      <w:r>
        <w:rPr>
          <w:rFonts w:hint="eastAsia" w:ascii="宋体" w:hAnsi="宋体" w:eastAsia="宋体" w:cs="宋体"/>
          <w:color w:val="000000"/>
          <w:highlight w:val="none"/>
        </w:rPr>
        <w:t>表的姓名、职</w:t>
      </w:r>
      <w:bookmarkEnd w:id="89"/>
      <w:bookmarkEnd w:id="90"/>
      <w:bookmarkEnd w:id="91"/>
      <w:bookmarkEnd w:id="92"/>
      <w:r>
        <w:rPr>
          <w:rFonts w:hint="eastAsia" w:ascii="宋体" w:hAnsi="宋体" w:eastAsia="宋体" w:cs="宋体"/>
          <w:color w:val="000000"/>
          <w:highlight w:val="none"/>
        </w:rPr>
        <w:t>务、联</w:t>
      </w:r>
      <w:bookmarkStart w:id="93" w:name="_Toc351203511"/>
      <w:r>
        <w:rPr>
          <w:rFonts w:hint="eastAsia" w:ascii="宋体" w:hAnsi="宋体" w:eastAsia="宋体" w:cs="宋体"/>
          <w:color w:val="000000"/>
          <w:highlight w:val="none"/>
        </w:rPr>
        <w:t>系方式、授权范围和</w:t>
      </w:r>
      <w:bookmarkEnd w:id="93"/>
      <w:r>
        <w:rPr>
          <w:rFonts w:hint="eastAsia" w:ascii="宋体" w:hAnsi="宋体" w:eastAsia="宋体" w:cs="宋体"/>
          <w:color w:val="000000"/>
          <w:highlight w:val="none"/>
        </w:rPr>
        <w:t>授权期限书面通知</w:t>
      </w:r>
      <w:r>
        <w:rPr>
          <w:rFonts w:hint="eastAsia" w:ascii="宋体" w:hAnsi="宋体" w:eastAsia="宋体" w:cs="宋体"/>
          <w:color w:val="000000"/>
          <w:szCs w:val="21"/>
          <w:highlight w:val="none"/>
        </w:rPr>
        <w:t>勘察</w:t>
      </w:r>
      <w:r>
        <w:rPr>
          <w:rFonts w:hint="eastAsia" w:ascii="宋体" w:hAnsi="宋体" w:eastAsia="宋体" w:cs="宋体"/>
          <w:color w:val="000000"/>
          <w:highlight w:val="none"/>
        </w:rPr>
        <w:t>人，由发包人代表在其授权范围和授权期限内，代表发包人行使权利、履行义务和处理合同履行中的具体事宜。发包人代表在授权范围内的行为由发包人承担法律责任。</w:t>
      </w:r>
    </w:p>
    <w:p w14:paraId="05CF3AF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3.1.2发包人代表违反法律法规、违背职业道德守则或者不按合同约定履行职责及义务，导致合同无法继续正常履行的，</w:t>
      </w:r>
      <w:r>
        <w:rPr>
          <w:rFonts w:hint="eastAsia" w:ascii="宋体" w:hAnsi="宋体" w:eastAsia="宋体" w:cs="宋体"/>
          <w:color w:val="000000"/>
          <w:szCs w:val="21"/>
          <w:highlight w:val="none"/>
        </w:rPr>
        <w:t>勘察</w:t>
      </w:r>
      <w:r>
        <w:rPr>
          <w:rFonts w:hint="eastAsia" w:ascii="宋体" w:hAnsi="宋体" w:eastAsia="宋体" w:cs="宋体"/>
          <w:color w:val="000000"/>
          <w:highlight w:val="none"/>
        </w:rPr>
        <w:t>人有权通知发包人更换发包人代表。发包人收到通知后7天内，应当核实完毕并将处理结果通知</w:t>
      </w:r>
      <w:r>
        <w:rPr>
          <w:rFonts w:hint="eastAsia" w:ascii="宋体" w:hAnsi="宋体" w:eastAsia="宋体" w:cs="宋体"/>
          <w:color w:val="000000"/>
          <w:szCs w:val="21"/>
          <w:highlight w:val="none"/>
        </w:rPr>
        <w:t>勘察</w:t>
      </w:r>
      <w:r>
        <w:rPr>
          <w:rFonts w:hint="eastAsia" w:ascii="宋体" w:hAnsi="宋体" w:eastAsia="宋体" w:cs="宋体"/>
          <w:color w:val="000000"/>
          <w:highlight w:val="none"/>
        </w:rPr>
        <w:t>人。</w:t>
      </w:r>
    </w:p>
    <w:p w14:paraId="4B02760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3.1.3 发包人更换发包人代表的，应提前14天将更换人员的姓名、职务、联系方式、授权范围和授权期限书面通知</w:t>
      </w:r>
      <w:r>
        <w:rPr>
          <w:rFonts w:hint="eastAsia" w:ascii="宋体" w:hAnsi="宋体" w:eastAsia="宋体" w:cs="宋体"/>
          <w:color w:val="000000"/>
          <w:szCs w:val="21"/>
          <w:highlight w:val="none"/>
        </w:rPr>
        <w:t>勘察</w:t>
      </w:r>
      <w:r>
        <w:rPr>
          <w:rFonts w:hint="eastAsia" w:ascii="宋体" w:hAnsi="宋体" w:eastAsia="宋体" w:cs="宋体"/>
          <w:color w:val="000000"/>
          <w:highlight w:val="none"/>
        </w:rPr>
        <w:t>人。</w:t>
      </w:r>
    </w:p>
    <w:p w14:paraId="377902C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3.1.4</w:t>
      </w:r>
      <w:r>
        <w:rPr>
          <w:rFonts w:hint="eastAsia" w:ascii="宋体" w:hAnsi="宋体" w:eastAsia="宋体" w:cs="宋体"/>
          <w:color w:val="000000"/>
          <w:szCs w:val="21"/>
          <w:highlight w:val="none"/>
        </w:rPr>
        <w:t>发包人代表可以授权发包人的其他人员负责执行其指派的一项或多项工作。发包人代表应</w:t>
      </w:r>
      <w:bookmarkStart w:id="94" w:name="_Toc247527662"/>
      <w:bookmarkStart w:id="95" w:name="_Toc247514061"/>
      <w:bookmarkStart w:id="96" w:name="_Toc300835059"/>
      <w:r>
        <w:rPr>
          <w:rFonts w:hint="eastAsia" w:ascii="宋体" w:hAnsi="宋体" w:eastAsia="宋体" w:cs="宋体"/>
          <w:color w:val="000000"/>
          <w:szCs w:val="21"/>
          <w:highlight w:val="none"/>
        </w:rPr>
        <w:t>将被授权人员的姓名及其</w:t>
      </w:r>
      <w:bookmarkEnd w:id="94"/>
      <w:bookmarkEnd w:id="95"/>
      <w:bookmarkEnd w:id="96"/>
      <w:r>
        <w:rPr>
          <w:rFonts w:hint="eastAsia" w:ascii="宋体" w:hAnsi="宋体" w:eastAsia="宋体" w:cs="宋体"/>
          <w:color w:val="000000"/>
          <w:szCs w:val="21"/>
          <w:highlight w:val="none"/>
        </w:rPr>
        <w:t>授权范围通知勘察人。被授权人员在授权范围内发出的指示视为已得到发包人代表的同意，与发包人代表发出的指示具有同等效力。</w:t>
      </w:r>
    </w:p>
    <w:p w14:paraId="095C43D2">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97" w:name="_Toc492300451"/>
      <w:bookmarkStart w:id="98" w:name="_Toc482188568"/>
      <w:r>
        <w:rPr>
          <w:rFonts w:hint="eastAsia" w:ascii="宋体" w:hAnsi="宋体" w:eastAsia="宋体" w:cs="宋体"/>
          <w:color w:val="000000"/>
          <w:highlight w:val="none"/>
        </w:rPr>
        <w:t>3.2 监理人</w:t>
      </w:r>
      <w:bookmarkEnd w:id="97"/>
      <w:bookmarkEnd w:id="98"/>
    </w:p>
    <w:p w14:paraId="3216404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3.2.1 发包人可以根据工程建设需要确定是否委托监理人进行勘察监理。如果委托监理，则监理人享有合同约定的权力，其所发出的任何指示应视为已得到发包人的批准。监理人的监理范围、职责权限和总监理工程师信息，应在专用合同条款中指明。未经发包人批准，监理人无权修改合同。</w:t>
      </w:r>
    </w:p>
    <w:p w14:paraId="1E18565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3.2.2 合同约定应由勘察人承担的义务和责任，不因监理人对勘察文件的审查或批准，以及为实施监理作出的指示等职务行为而减轻或解除。</w:t>
      </w:r>
    </w:p>
    <w:p w14:paraId="67F05AD1">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99" w:name="_Toc482188569"/>
      <w:bookmarkStart w:id="100" w:name="_Toc492300452"/>
      <w:r>
        <w:rPr>
          <w:rFonts w:hint="eastAsia" w:ascii="宋体" w:hAnsi="宋体" w:eastAsia="宋体" w:cs="宋体"/>
          <w:color w:val="000000"/>
          <w:highlight w:val="none"/>
        </w:rPr>
        <w:t>3.3 发包人的指示</w:t>
      </w:r>
      <w:bookmarkEnd w:id="99"/>
      <w:bookmarkEnd w:id="100"/>
    </w:p>
    <w:p w14:paraId="1859E3A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 xml:space="preserve">3.3.1 </w:t>
      </w:r>
      <w:r>
        <w:rPr>
          <w:rFonts w:hint="eastAsia" w:ascii="宋体" w:hAnsi="宋体" w:eastAsia="宋体" w:cs="宋体"/>
          <w:color w:val="000000"/>
          <w:szCs w:val="21"/>
          <w:highlight w:val="none"/>
        </w:rPr>
        <w:t>发包人应按合同约定向勘察人发出指示，发包人的指示应盖有发包人单位章</w:t>
      </w:r>
      <w:bookmarkStart w:id="101" w:name="_Toc247527663"/>
      <w:bookmarkStart w:id="102" w:name="_Toc247514062"/>
      <w:bookmarkStart w:id="103" w:name="_Toc300835060"/>
      <w:r>
        <w:rPr>
          <w:rFonts w:hint="eastAsia" w:ascii="宋体" w:hAnsi="宋体" w:eastAsia="宋体" w:cs="宋体"/>
          <w:color w:val="000000"/>
          <w:szCs w:val="21"/>
          <w:highlight w:val="none"/>
        </w:rPr>
        <w:t>，并由发</w:t>
      </w:r>
      <w:bookmarkEnd w:id="101"/>
      <w:bookmarkEnd w:id="102"/>
      <w:bookmarkEnd w:id="103"/>
      <w:r>
        <w:rPr>
          <w:rFonts w:hint="eastAsia" w:ascii="宋体" w:hAnsi="宋体" w:eastAsia="宋体" w:cs="宋体"/>
          <w:color w:val="000000"/>
          <w:szCs w:val="21"/>
          <w:highlight w:val="none"/>
        </w:rPr>
        <w:t>包人代表签字确认。</w:t>
      </w:r>
    </w:p>
    <w:p w14:paraId="353B17A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 xml:space="preserve">3.3.2 </w:t>
      </w:r>
      <w:r>
        <w:rPr>
          <w:rFonts w:hint="eastAsia" w:ascii="宋体" w:hAnsi="宋体" w:eastAsia="宋体" w:cs="宋体"/>
          <w:color w:val="000000"/>
          <w:szCs w:val="21"/>
          <w:highlight w:val="none"/>
        </w:rPr>
        <w:t>勘察人收到发包人作出的指示后应遵照执行。指示构成变更的，应按第</w:t>
      </w:r>
      <w:r>
        <w:rPr>
          <w:rFonts w:hint="eastAsia" w:ascii="宋体" w:hAnsi="宋体" w:eastAsia="宋体" w:cs="宋体"/>
          <w:color w:val="000000"/>
          <w:highlight w:val="none"/>
        </w:rPr>
        <w:t>11</w:t>
      </w:r>
      <w:r>
        <w:rPr>
          <w:rFonts w:hint="eastAsia" w:ascii="宋体" w:hAnsi="宋体" w:eastAsia="宋体" w:cs="宋体"/>
          <w:color w:val="000000"/>
          <w:szCs w:val="21"/>
          <w:highlight w:val="none"/>
        </w:rPr>
        <w:t>条执行。</w:t>
      </w:r>
    </w:p>
    <w:p w14:paraId="61A9E95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 xml:space="preserve">3.3.3 </w:t>
      </w:r>
      <w:r>
        <w:rPr>
          <w:rFonts w:hint="eastAsia" w:ascii="宋体" w:hAnsi="宋体" w:eastAsia="宋体" w:cs="宋体"/>
          <w:color w:val="000000"/>
          <w:szCs w:val="21"/>
          <w:highlight w:val="none"/>
        </w:rPr>
        <w:t>在紧急情况下，发包人代表或其授权人员可以当场签发临时书面指示，勘察人应遵照执行。发包人代表应在临时书面指示发出后24小时内发出书面确认函，逾期未发出书面确认函的，该临时书面指示应被视为发包人的正式指示。</w:t>
      </w:r>
    </w:p>
    <w:p w14:paraId="0C80603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 xml:space="preserve">3.3.4 </w:t>
      </w:r>
      <w:r>
        <w:rPr>
          <w:rFonts w:hint="eastAsia" w:ascii="宋体" w:hAnsi="宋体" w:eastAsia="宋体" w:cs="宋体"/>
          <w:color w:val="000000"/>
          <w:szCs w:val="21"/>
          <w:highlight w:val="none"/>
        </w:rPr>
        <w:t>除专用合同条款另有约定外，勘察人只从发包人代表或</w:t>
      </w:r>
      <w:r>
        <w:rPr>
          <w:rFonts w:hint="eastAsia" w:ascii="宋体" w:hAnsi="宋体" w:eastAsia="宋体" w:cs="宋体"/>
          <w:color w:val="000000"/>
          <w:highlight w:val="none"/>
        </w:rPr>
        <w:t>按第3.1.4项约定的被</w:t>
      </w:r>
      <w:r>
        <w:rPr>
          <w:rFonts w:hint="eastAsia" w:ascii="宋体" w:hAnsi="宋体" w:eastAsia="宋体" w:cs="宋体"/>
          <w:color w:val="000000"/>
          <w:szCs w:val="21"/>
          <w:highlight w:val="none"/>
        </w:rPr>
        <w:t>授权人员处取得指示。</w:t>
      </w:r>
    </w:p>
    <w:p w14:paraId="433113BC">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 xml:space="preserve">3.3.5 </w:t>
      </w:r>
      <w:r>
        <w:rPr>
          <w:rFonts w:hint="eastAsia" w:ascii="宋体" w:hAnsi="宋体" w:eastAsia="宋体" w:cs="宋体"/>
          <w:color w:val="000000"/>
          <w:szCs w:val="21"/>
          <w:highlight w:val="none"/>
        </w:rPr>
        <w:t>由于发包人未能按合同约定发出指示、指示延误或指示错误而导致勘察人费用增加和（或）周期延误的，发包人应承担由此增加的费用和（或）周期延误。</w:t>
      </w:r>
    </w:p>
    <w:p w14:paraId="6D332701">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04" w:name="_Toc492300453"/>
      <w:bookmarkStart w:id="105" w:name="_Toc482188570"/>
      <w:r>
        <w:rPr>
          <w:rFonts w:hint="eastAsia" w:ascii="宋体" w:hAnsi="宋体" w:eastAsia="宋体" w:cs="宋体"/>
          <w:color w:val="000000"/>
          <w:highlight w:val="none"/>
        </w:rPr>
        <w:t>3.4 决定或答复</w:t>
      </w:r>
      <w:bookmarkEnd w:id="104"/>
      <w:bookmarkEnd w:id="105"/>
    </w:p>
    <w:p w14:paraId="6747E9C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3.4.1 发包人在法律允许的范围内有权对勘察人的勘察工作和/或勘察文件作出处理决定</w:t>
      </w:r>
      <w:bookmarkStart w:id="106" w:name="_Toc247527665"/>
      <w:bookmarkStart w:id="107" w:name="_Toc300835062"/>
      <w:bookmarkStart w:id="108" w:name="_Toc370281730"/>
      <w:bookmarkStart w:id="109" w:name="_Toc385592088"/>
      <w:bookmarkStart w:id="110" w:name="_Toc385942926"/>
      <w:bookmarkStart w:id="111" w:name="_Toc247514064"/>
      <w:bookmarkStart w:id="112" w:name="_Toc184635101"/>
      <w:r>
        <w:rPr>
          <w:rFonts w:hint="eastAsia" w:ascii="宋体" w:hAnsi="宋体" w:eastAsia="宋体" w:cs="宋体"/>
          <w:color w:val="000000"/>
          <w:szCs w:val="21"/>
          <w:highlight w:val="none"/>
        </w:rPr>
        <w:t>，勘察人应按照发包人的决定执行，涉及勘察服务期限或勘察费用等问题按第</w:t>
      </w:r>
      <w:r>
        <w:rPr>
          <w:rFonts w:hint="eastAsia" w:ascii="宋体" w:hAnsi="宋体" w:eastAsia="宋体" w:cs="宋体"/>
          <w:color w:val="000000"/>
          <w:highlight w:val="none"/>
        </w:rPr>
        <w:t>11</w:t>
      </w:r>
      <w:r>
        <w:rPr>
          <w:rFonts w:hint="eastAsia" w:ascii="宋体" w:hAnsi="宋体" w:eastAsia="宋体" w:cs="宋体"/>
          <w:color w:val="000000"/>
          <w:szCs w:val="21"/>
          <w:highlight w:val="none"/>
        </w:rPr>
        <w:t>条的约定处理。</w:t>
      </w:r>
    </w:p>
    <w:p w14:paraId="13829F3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3.4.2 发包人应在专用合同条款约定的时间之内，对勘察人书面提出的事项作出书面答复；逾期没有做出答复的，视为已获得发包人的批准。</w:t>
      </w:r>
    </w:p>
    <w:p w14:paraId="5475A9F8">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13" w:name="_Toc117059897"/>
      <w:bookmarkStart w:id="114" w:name="_Toc482188571"/>
      <w:bookmarkStart w:id="115" w:name="_Toc492300454"/>
      <w:r>
        <w:rPr>
          <w:rFonts w:hint="eastAsia" w:ascii="宋体" w:hAnsi="宋体" w:eastAsia="宋体" w:cs="宋体"/>
          <w:color w:val="000000"/>
          <w:highlight w:val="none"/>
        </w:rPr>
        <w:t>4. 勘察人义务</w:t>
      </w:r>
      <w:bookmarkEnd w:id="113"/>
      <w:bookmarkEnd w:id="114"/>
      <w:bookmarkEnd w:id="115"/>
    </w:p>
    <w:p w14:paraId="1407825A">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16" w:name="_Toc482188572"/>
      <w:bookmarkStart w:id="117" w:name="_Toc492300455"/>
      <w:r>
        <w:rPr>
          <w:rFonts w:hint="eastAsia" w:ascii="宋体" w:hAnsi="宋体" w:eastAsia="宋体" w:cs="宋体"/>
          <w:color w:val="000000"/>
          <w:highlight w:val="none"/>
        </w:rPr>
        <w:t>4.1 勘察人的一般义务</w:t>
      </w:r>
      <w:bookmarkEnd w:id="116"/>
      <w:bookmarkEnd w:id="117"/>
    </w:p>
    <w:p w14:paraId="1158216E">
      <w:pPr>
        <w:keepNext w:val="0"/>
        <w:keepLines w:val="0"/>
        <w:pageBreakBefore w:val="0"/>
        <w:widowControl w:val="0"/>
        <w:kinsoku/>
        <w:wordWrap/>
        <w:overflowPunct/>
        <w:topLinePunct w:val="0"/>
        <w:autoSpaceDE/>
        <w:autoSpaceDN/>
        <w:bidi w:val="0"/>
        <w:adjustRightInd/>
        <w:snapToGrid/>
        <w:spacing w:line="360" w:lineRule="auto"/>
        <w:ind w:firstLine="402" w:firstLineChars="200"/>
        <w:textAlignment w:val="auto"/>
        <w:rPr>
          <w:rFonts w:hint="eastAsia" w:ascii="宋体" w:hAnsi="宋体" w:eastAsia="宋体" w:cs="宋体"/>
          <w:b/>
          <w:color w:val="000000"/>
          <w:szCs w:val="21"/>
          <w:highlight w:val="none"/>
        </w:rPr>
      </w:pPr>
      <w:r>
        <w:rPr>
          <w:rFonts w:hint="eastAsia" w:ascii="宋体" w:hAnsi="宋体" w:eastAsia="宋体" w:cs="宋体"/>
          <w:b/>
          <w:color w:val="000000"/>
          <w:highlight w:val="none"/>
        </w:rPr>
        <w:t>4.1.1 遵守法律</w:t>
      </w:r>
    </w:p>
    <w:p w14:paraId="0689E216">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勘察人在履行合同过程中应遵守法律，并保证发包人免于承担因</w:t>
      </w:r>
      <w:bookmarkEnd w:id="106"/>
      <w:bookmarkEnd w:id="107"/>
      <w:bookmarkEnd w:id="108"/>
      <w:bookmarkEnd w:id="109"/>
      <w:bookmarkEnd w:id="110"/>
      <w:bookmarkEnd w:id="111"/>
      <w:bookmarkEnd w:id="112"/>
      <w:r>
        <w:rPr>
          <w:rFonts w:hint="eastAsia" w:ascii="宋体" w:hAnsi="宋体" w:eastAsia="宋体" w:cs="宋体"/>
          <w:color w:val="000000"/>
          <w:szCs w:val="21"/>
          <w:highlight w:val="none"/>
        </w:rPr>
        <w:t>勘察人</w:t>
      </w:r>
      <w:bookmarkStart w:id="118" w:name="_Toc247527666"/>
      <w:bookmarkStart w:id="119" w:name="_Toc247514065"/>
      <w:bookmarkStart w:id="120" w:name="_Toc385942927"/>
      <w:bookmarkStart w:id="121" w:name="_Toc370281731"/>
      <w:bookmarkStart w:id="122" w:name="_Toc300835063"/>
      <w:r>
        <w:rPr>
          <w:rFonts w:hint="eastAsia" w:ascii="宋体" w:hAnsi="宋体" w:eastAsia="宋体" w:cs="宋体"/>
          <w:color w:val="000000"/>
          <w:szCs w:val="21"/>
          <w:highlight w:val="none"/>
        </w:rPr>
        <w:t>违反法律而引起的任何责任。</w:t>
      </w:r>
    </w:p>
    <w:bookmarkEnd w:id="118"/>
    <w:bookmarkEnd w:id="119"/>
    <w:bookmarkEnd w:id="120"/>
    <w:bookmarkEnd w:id="121"/>
    <w:bookmarkEnd w:id="122"/>
    <w:p w14:paraId="055C429D">
      <w:pPr>
        <w:keepNext w:val="0"/>
        <w:keepLines w:val="0"/>
        <w:pageBreakBefore w:val="0"/>
        <w:widowControl w:val="0"/>
        <w:kinsoku/>
        <w:wordWrap/>
        <w:overflowPunct/>
        <w:topLinePunct w:val="0"/>
        <w:autoSpaceDE/>
        <w:autoSpaceDN/>
        <w:bidi w:val="0"/>
        <w:adjustRightInd/>
        <w:snapToGrid/>
        <w:spacing w:line="360" w:lineRule="auto"/>
        <w:ind w:firstLine="402" w:firstLineChars="200"/>
        <w:textAlignment w:val="auto"/>
        <w:rPr>
          <w:rFonts w:hint="eastAsia" w:ascii="宋体" w:hAnsi="宋体" w:eastAsia="宋体" w:cs="宋体"/>
          <w:b/>
          <w:color w:val="000000"/>
          <w:highlight w:val="none"/>
        </w:rPr>
      </w:pPr>
      <w:r>
        <w:rPr>
          <w:rFonts w:hint="eastAsia" w:ascii="宋体" w:hAnsi="宋体" w:eastAsia="宋体" w:cs="宋体"/>
          <w:b/>
          <w:color w:val="000000"/>
          <w:highlight w:val="none"/>
        </w:rPr>
        <w:t>4.1.2 依法纳税</w:t>
      </w:r>
    </w:p>
    <w:p w14:paraId="4A839407">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勘察人应按有关法律规定纳税，应缴纳的税金（含增值税）包括在合同价格之中。</w:t>
      </w:r>
    </w:p>
    <w:p w14:paraId="3F4B4BBD">
      <w:pPr>
        <w:keepNext w:val="0"/>
        <w:keepLines w:val="0"/>
        <w:pageBreakBefore w:val="0"/>
        <w:widowControl w:val="0"/>
        <w:kinsoku/>
        <w:wordWrap/>
        <w:overflowPunct/>
        <w:topLinePunct w:val="0"/>
        <w:autoSpaceDE/>
        <w:autoSpaceDN/>
        <w:bidi w:val="0"/>
        <w:adjustRightInd/>
        <w:snapToGrid/>
        <w:spacing w:line="360" w:lineRule="auto"/>
        <w:ind w:firstLine="402" w:firstLineChars="200"/>
        <w:textAlignment w:val="auto"/>
        <w:rPr>
          <w:rFonts w:hint="eastAsia" w:ascii="宋体" w:hAnsi="宋体" w:eastAsia="宋体" w:cs="宋体"/>
          <w:b/>
          <w:color w:val="000000"/>
          <w:highlight w:val="none"/>
        </w:rPr>
      </w:pPr>
      <w:r>
        <w:rPr>
          <w:rFonts w:hint="eastAsia" w:ascii="宋体" w:hAnsi="宋体" w:eastAsia="宋体" w:cs="宋体"/>
          <w:b/>
          <w:color w:val="000000"/>
          <w:highlight w:val="none"/>
        </w:rPr>
        <w:t>4.1.3 完成全部勘察工作</w:t>
      </w:r>
    </w:p>
    <w:p w14:paraId="62A9815F">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勘察人应按合同约定以及发包人要求，完成合同约定的全部工作，并对工作中的任何缺陷进行整改、完善和修补，使其满足合同约定的目的。勘察人应按合同约定提供勘察文件，以及为完成勘察服务所需的劳务、材料、勘察设备、实验设施等，并应自行承担勘探场地临时设施的搭设、维护、管理和拆除。</w:t>
      </w:r>
    </w:p>
    <w:p w14:paraId="697FD472">
      <w:pPr>
        <w:keepNext w:val="0"/>
        <w:keepLines w:val="0"/>
        <w:pageBreakBefore w:val="0"/>
        <w:widowControl w:val="0"/>
        <w:kinsoku/>
        <w:wordWrap/>
        <w:overflowPunct/>
        <w:topLinePunct w:val="0"/>
        <w:autoSpaceDE/>
        <w:autoSpaceDN/>
        <w:bidi w:val="0"/>
        <w:adjustRightInd/>
        <w:snapToGrid/>
        <w:spacing w:line="360" w:lineRule="auto"/>
        <w:ind w:firstLine="402" w:firstLineChars="200"/>
        <w:textAlignment w:val="auto"/>
        <w:rPr>
          <w:rFonts w:hint="eastAsia" w:ascii="宋体" w:hAnsi="宋体" w:eastAsia="宋体" w:cs="宋体"/>
          <w:b/>
          <w:color w:val="000000"/>
          <w:highlight w:val="none"/>
        </w:rPr>
      </w:pPr>
      <w:r>
        <w:rPr>
          <w:rFonts w:hint="eastAsia" w:ascii="宋体" w:hAnsi="宋体" w:eastAsia="宋体" w:cs="宋体"/>
          <w:b/>
          <w:color w:val="000000"/>
          <w:highlight w:val="none"/>
        </w:rPr>
        <w:t>4.1.4保证勘察作业规范、安全和环保</w:t>
      </w:r>
    </w:p>
    <w:p w14:paraId="6F2138F2">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勘察人应按法律、规范标准和发包人要求，采取各项有效措施，确保勘察作业操作规范、安全、文明和环保，在风险性较大的环境中作业时应当编制安全防护方案并制定应急预案，防止因勘察作业造成的人身伤害和财产损失。</w:t>
      </w:r>
    </w:p>
    <w:p w14:paraId="0B92CD0C">
      <w:pPr>
        <w:keepNext w:val="0"/>
        <w:keepLines w:val="0"/>
        <w:pageBreakBefore w:val="0"/>
        <w:widowControl w:val="0"/>
        <w:kinsoku/>
        <w:wordWrap/>
        <w:overflowPunct/>
        <w:topLinePunct w:val="0"/>
        <w:autoSpaceDE/>
        <w:autoSpaceDN/>
        <w:bidi w:val="0"/>
        <w:adjustRightInd/>
        <w:snapToGrid/>
        <w:spacing w:line="360" w:lineRule="auto"/>
        <w:ind w:firstLine="402" w:firstLineChars="200"/>
        <w:textAlignment w:val="auto"/>
        <w:rPr>
          <w:rFonts w:hint="eastAsia" w:ascii="宋体" w:hAnsi="宋体" w:eastAsia="宋体" w:cs="宋体"/>
          <w:b/>
          <w:color w:val="000000"/>
          <w:highlight w:val="none"/>
        </w:rPr>
      </w:pPr>
      <w:r>
        <w:rPr>
          <w:rFonts w:hint="eastAsia" w:ascii="宋体" w:hAnsi="宋体" w:eastAsia="宋体" w:cs="宋体"/>
          <w:b/>
          <w:color w:val="000000"/>
          <w:highlight w:val="none"/>
        </w:rPr>
        <w:t>4.1.5避免勘探对公众与他人的利益造成损害</w:t>
      </w:r>
    </w:p>
    <w:p w14:paraId="69E656D7">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勘察人在进行合同约定的各项工作时，不得侵害发包人与他人使用公用道路、水源、市政管网等公共设施的权利，避免对邻近的公共设施产生干扰，保证勘探场地的周边设施、建构筑物、地下管线、架空线和其他物体的安全运行。勘察人占用或使用他人的施工场地，影响他人作业或生活的，应承担相应责任。</w:t>
      </w:r>
    </w:p>
    <w:p w14:paraId="39D9A76E">
      <w:pPr>
        <w:keepNext w:val="0"/>
        <w:keepLines w:val="0"/>
        <w:pageBreakBefore w:val="0"/>
        <w:widowControl w:val="0"/>
        <w:kinsoku/>
        <w:wordWrap/>
        <w:overflowPunct/>
        <w:topLinePunct w:val="0"/>
        <w:autoSpaceDE/>
        <w:autoSpaceDN/>
        <w:bidi w:val="0"/>
        <w:adjustRightInd/>
        <w:snapToGrid/>
        <w:spacing w:line="360" w:lineRule="auto"/>
        <w:ind w:firstLine="402" w:firstLineChars="200"/>
        <w:textAlignment w:val="auto"/>
        <w:rPr>
          <w:rFonts w:hint="eastAsia" w:ascii="宋体" w:hAnsi="宋体" w:eastAsia="宋体" w:cs="宋体"/>
          <w:b/>
          <w:color w:val="000000"/>
          <w:highlight w:val="none"/>
        </w:rPr>
      </w:pPr>
      <w:r>
        <w:rPr>
          <w:rFonts w:hint="eastAsia" w:ascii="宋体" w:hAnsi="宋体" w:eastAsia="宋体" w:cs="宋体"/>
          <w:b/>
          <w:color w:val="000000"/>
          <w:highlight w:val="none"/>
        </w:rPr>
        <w:t>4.1.6其他义务</w:t>
      </w:r>
    </w:p>
    <w:p w14:paraId="677E455A">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highlight w:val="none"/>
        </w:rPr>
      </w:pPr>
      <w:r>
        <w:rPr>
          <w:rFonts w:hint="eastAsia" w:ascii="宋体" w:hAnsi="宋体" w:eastAsia="宋体" w:cs="宋体"/>
          <w:color w:val="000000"/>
          <w:szCs w:val="21"/>
          <w:highlight w:val="none"/>
        </w:rPr>
        <w:t>勘察人应履行合同约定的其他义务。</w:t>
      </w:r>
    </w:p>
    <w:p w14:paraId="095C7548">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23" w:name="_Toc382920065"/>
      <w:bookmarkStart w:id="124" w:name="_Toc492300456"/>
      <w:bookmarkStart w:id="125" w:name="_Toc485303383"/>
      <w:bookmarkStart w:id="126" w:name="_Toc13239"/>
      <w:bookmarkStart w:id="127" w:name="_Toc482188573"/>
      <w:bookmarkStart w:id="128" w:name="_Toc300835075"/>
      <w:bookmarkStart w:id="129" w:name="_Toc247514076"/>
      <w:bookmarkStart w:id="130" w:name="_Toc247527677"/>
      <w:bookmarkStart w:id="131" w:name="_Toc300835076"/>
      <w:r>
        <w:rPr>
          <w:rFonts w:hint="eastAsia" w:ascii="宋体" w:hAnsi="宋体" w:eastAsia="宋体" w:cs="宋体"/>
          <w:color w:val="000000"/>
          <w:highlight w:val="none"/>
        </w:rPr>
        <w:t>4.2 履约保证金</w:t>
      </w:r>
      <w:bookmarkEnd w:id="123"/>
      <w:bookmarkEnd w:id="124"/>
      <w:bookmarkEnd w:id="125"/>
      <w:bookmarkEnd w:id="126"/>
    </w:p>
    <w:p w14:paraId="5499C1B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除专用合同条款另有约定外，履约保证金自合同生效之日起生效，在发包人签收最后一批勘察成果文件之日起 28 日后失效。如果勘察人不履行合同约定的义务或其履行不符合合同的约定，发包人有权扣划相应金额的履约保证金。</w:t>
      </w:r>
    </w:p>
    <w:p w14:paraId="2724698A">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32" w:name="_Toc492300457"/>
      <w:r>
        <w:rPr>
          <w:rFonts w:hint="eastAsia" w:ascii="宋体" w:hAnsi="宋体" w:eastAsia="宋体" w:cs="宋体"/>
          <w:color w:val="000000"/>
          <w:highlight w:val="none"/>
        </w:rPr>
        <w:t>4.3 分包和不得转包</w:t>
      </w:r>
      <w:bookmarkEnd w:id="127"/>
      <w:bookmarkEnd w:id="132"/>
    </w:p>
    <w:p w14:paraId="5D18464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4.3.1</w:t>
      </w:r>
      <w:r>
        <w:rPr>
          <w:rFonts w:hint="eastAsia" w:ascii="宋体" w:hAnsi="宋体" w:eastAsia="宋体" w:cs="宋体"/>
          <w:color w:val="000000"/>
          <w:szCs w:val="21"/>
          <w:highlight w:val="none"/>
        </w:rPr>
        <w:t>勘察人不得将其勘察的全部工作转包给第三人。</w:t>
      </w:r>
    </w:p>
    <w:p w14:paraId="531DADA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 xml:space="preserve">4.3.2 </w:t>
      </w:r>
      <w:r>
        <w:rPr>
          <w:rFonts w:hint="eastAsia" w:ascii="宋体" w:hAnsi="宋体" w:eastAsia="宋体" w:cs="宋体"/>
          <w:color w:val="000000"/>
          <w:szCs w:val="21"/>
          <w:highlight w:val="none"/>
        </w:rPr>
        <w:t>勘察人不得将勘察的主体、关键性工作分包给第三人。除专用合同条款另有约定外，未经发包人同意，勘察人也不得将非主体、非关键性工作分包给第三人。</w:t>
      </w:r>
    </w:p>
    <w:p w14:paraId="441CE0F1">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4.3.3</w:t>
      </w:r>
      <w:r>
        <w:rPr>
          <w:rFonts w:hint="eastAsia" w:ascii="宋体" w:hAnsi="宋体" w:eastAsia="宋体" w:cs="宋体"/>
          <w:color w:val="000000"/>
          <w:szCs w:val="21"/>
          <w:highlight w:val="none"/>
        </w:rPr>
        <w:t>发包人同意勘察人分包工作的，勘察人应向发包人提交1份分包合同副本，并对分包勘察工作质量承担连带责任。除专用合同条款另有约定外，分包人的勘察费用由勘察人与分包人自行支付。</w:t>
      </w:r>
    </w:p>
    <w:p w14:paraId="3C348E8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 xml:space="preserve">4.3.4 </w:t>
      </w:r>
      <w:r>
        <w:rPr>
          <w:rFonts w:hint="eastAsia" w:ascii="宋体" w:hAnsi="宋体" w:eastAsia="宋体" w:cs="宋体"/>
          <w:color w:val="000000"/>
          <w:szCs w:val="21"/>
          <w:highlight w:val="none"/>
        </w:rPr>
        <w:t>分包人的资格能力应与其分包工作的标准和规模相适应，包括必要的企业资质、人员、设备和类似业绩等。</w:t>
      </w:r>
    </w:p>
    <w:p w14:paraId="32F9D757">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33" w:name="_Toc492300458"/>
      <w:bookmarkStart w:id="134" w:name="_Toc482188574"/>
      <w:r>
        <w:rPr>
          <w:rFonts w:hint="eastAsia" w:ascii="宋体" w:hAnsi="宋体" w:eastAsia="宋体" w:cs="宋体"/>
          <w:color w:val="000000"/>
          <w:highlight w:val="none"/>
        </w:rPr>
        <w:t>4.4 联合体</w:t>
      </w:r>
      <w:bookmarkEnd w:id="133"/>
      <w:bookmarkEnd w:id="134"/>
    </w:p>
    <w:p w14:paraId="2E48B2D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 xml:space="preserve">4.4.1 </w:t>
      </w:r>
      <w:r>
        <w:rPr>
          <w:rFonts w:hint="eastAsia" w:ascii="宋体" w:hAnsi="宋体" w:eastAsia="宋体" w:cs="宋体"/>
          <w:color w:val="000000"/>
          <w:szCs w:val="21"/>
          <w:highlight w:val="none"/>
        </w:rPr>
        <w:t>联合体各方应共同与发包人签订合同。联合体各方应为履行合同承担连带责任。</w:t>
      </w:r>
    </w:p>
    <w:p w14:paraId="0852CB9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4.4.2</w:t>
      </w:r>
      <w:r>
        <w:rPr>
          <w:rFonts w:hint="eastAsia" w:ascii="宋体" w:hAnsi="宋体" w:eastAsia="宋体" w:cs="宋体"/>
          <w:color w:val="000000"/>
          <w:szCs w:val="21"/>
          <w:highlight w:val="none"/>
        </w:rPr>
        <w:t>联合体协议经发包人确认后作为合同附件。在履行合同过程中，未经发包人同意，不得修改联合体协议。</w:t>
      </w:r>
    </w:p>
    <w:p w14:paraId="68AAA2F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4.4.3</w:t>
      </w:r>
      <w:r>
        <w:rPr>
          <w:rFonts w:hint="eastAsia" w:ascii="宋体" w:hAnsi="宋体" w:eastAsia="宋体" w:cs="宋体"/>
          <w:color w:val="000000"/>
          <w:szCs w:val="21"/>
          <w:highlight w:val="none"/>
        </w:rPr>
        <w:t>联合体牵头人或联合体授权的代表负责与发包人联系，并接受指示，负责组织联合体各成员全面履行合同。</w:t>
      </w:r>
    </w:p>
    <w:p w14:paraId="06C5E03F">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35" w:name="_Toc492300459"/>
      <w:bookmarkStart w:id="136" w:name="_Toc482188575"/>
      <w:r>
        <w:rPr>
          <w:rFonts w:hint="eastAsia" w:ascii="宋体" w:hAnsi="宋体" w:eastAsia="宋体" w:cs="宋体"/>
          <w:color w:val="000000"/>
          <w:highlight w:val="none"/>
        </w:rPr>
        <w:t>4.5 项目负责人</w:t>
      </w:r>
      <w:bookmarkEnd w:id="135"/>
      <w:bookmarkEnd w:id="136"/>
    </w:p>
    <w:p w14:paraId="067C5F4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4.5.1</w:t>
      </w:r>
      <w:r>
        <w:rPr>
          <w:rFonts w:hint="eastAsia" w:ascii="宋体" w:hAnsi="宋体" w:eastAsia="宋体" w:cs="宋体"/>
          <w:color w:val="000000"/>
          <w:szCs w:val="21"/>
          <w:highlight w:val="none"/>
        </w:rPr>
        <w:t>勘察人应按合同协议书的约定指派项目负责人，并在约定的期限内到职。勘察人更换项目负责</w:t>
      </w:r>
      <w:bookmarkStart w:id="137" w:name="_Toc247527670"/>
      <w:bookmarkStart w:id="138" w:name="_Toc300835067"/>
      <w:bookmarkStart w:id="139" w:name="_Toc247514069"/>
      <w:r>
        <w:rPr>
          <w:rFonts w:hint="eastAsia" w:ascii="宋体" w:hAnsi="宋体" w:eastAsia="宋体" w:cs="宋体"/>
          <w:color w:val="000000"/>
          <w:szCs w:val="21"/>
          <w:highlight w:val="none"/>
        </w:rPr>
        <w:t>人应事先征得</w:t>
      </w:r>
      <w:bookmarkEnd w:id="137"/>
      <w:bookmarkEnd w:id="138"/>
      <w:bookmarkEnd w:id="139"/>
      <w:r>
        <w:rPr>
          <w:rFonts w:hint="eastAsia" w:ascii="宋体" w:hAnsi="宋体" w:eastAsia="宋体" w:cs="宋体"/>
          <w:color w:val="000000"/>
          <w:szCs w:val="21"/>
          <w:highlight w:val="none"/>
        </w:rPr>
        <w:t>发包人同意，并应在更换14天前将拟更换的项目负责人的姓名和详细资料提交发包人。项目负责人2天内不能履行职责的，应事先征得发包人同意，并委派代表代行其职责。</w:t>
      </w:r>
    </w:p>
    <w:p w14:paraId="6133C5D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4.5.2</w:t>
      </w:r>
      <w:r>
        <w:rPr>
          <w:rFonts w:hint="eastAsia" w:ascii="宋体" w:hAnsi="宋体" w:eastAsia="宋体" w:cs="宋体"/>
          <w:color w:val="000000"/>
          <w:szCs w:val="21"/>
          <w:highlight w:val="none"/>
        </w:rPr>
        <w:t>项目负责人应按合同约定以及发包人要求，负责组织合同工作的实施。在情况紧急且无法与发包人取得联系时，可采取保证工程和人员生命财产安全的紧急措施，并在采取措施后24小时内向发包人提交书面报告。</w:t>
      </w:r>
    </w:p>
    <w:p w14:paraId="04BC13B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4.5.3</w:t>
      </w:r>
      <w:r>
        <w:rPr>
          <w:rFonts w:hint="eastAsia" w:ascii="宋体" w:hAnsi="宋体" w:eastAsia="宋体" w:cs="宋体"/>
          <w:color w:val="000000"/>
          <w:szCs w:val="21"/>
          <w:highlight w:val="none"/>
        </w:rPr>
        <w:t>勘察人为履行合同发出的一切函件均应盖有勘察人单位章，并由勘察人的项目负责人签字确认。</w:t>
      </w:r>
    </w:p>
    <w:p w14:paraId="37F2FA9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bookmarkStart w:id="140" w:name="_Toc482188576"/>
      <w:r>
        <w:rPr>
          <w:rFonts w:hint="eastAsia" w:ascii="宋体" w:hAnsi="宋体" w:eastAsia="宋体" w:cs="宋体"/>
          <w:color w:val="000000"/>
          <w:highlight w:val="none"/>
        </w:rPr>
        <w:t>4.5.4</w:t>
      </w:r>
      <w:r>
        <w:rPr>
          <w:rFonts w:hint="eastAsia" w:ascii="宋体" w:hAnsi="宋体" w:eastAsia="宋体" w:cs="宋体"/>
          <w:color w:val="000000"/>
          <w:szCs w:val="21"/>
          <w:highlight w:val="none"/>
        </w:rPr>
        <w:t>按照专用合同条款约定，项目负责人可以授权其下属人员履行其某项职责，但事先应将这些人员的姓名和授权范围书面通知发包人。</w:t>
      </w:r>
    </w:p>
    <w:p w14:paraId="0B234EB2">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41" w:name="_Toc492300460"/>
      <w:r>
        <w:rPr>
          <w:rFonts w:hint="eastAsia" w:ascii="宋体" w:hAnsi="宋体" w:eastAsia="宋体" w:cs="宋体"/>
          <w:color w:val="000000"/>
          <w:highlight w:val="none"/>
        </w:rPr>
        <w:t>4.6 勘察人员的管理</w:t>
      </w:r>
      <w:bookmarkEnd w:id="140"/>
      <w:bookmarkEnd w:id="141"/>
    </w:p>
    <w:p w14:paraId="115B105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4.6.1</w:t>
      </w:r>
      <w:r>
        <w:rPr>
          <w:rFonts w:hint="eastAsia" w:ascii="宋体" w:hAnsi="宋体" w:eastAsia="宋体" w:cs="宋体"/>
          <w:color w:val="000000"/>
          <w:szCs w:val="21"/>
          <w:highlight w:val="none"/>
        </w:rPr>
        <w:t>勘察人应在接到开始勘察通知之日起7天内，向发包人提交勘察项目机构以及</w:t>
      </w:r>
      <w:bookmarkStart w:id="142" w:name="_Toc247527671"/>
      <w:bookmarkStart w:id="143" w:name="_Toc247514070"/>
      <w:bookmarkStart w:id="144" w:name="_Toc300835068"/>
      <w:r>
        <w:rPr>
          <w:rFonts w:hint="eastAsia" w:ascii="宋体" w:hAnsi="宋体" w:eastAsia="宋体" w:cs="宋体"/>
          <w:color w:val="000000"/>
          <w:szCs w:val="21"/>
          <w:highlight w:val="none"/>
        </w:rPr>
        <w:t>人员安排的报告，其内容应</w:t>
      </w:r>
      <w:bookmarkEnd w:id="142"/>
      <w:bookmarkEnd w:id="143"/>
      <w:bookmarkEnd w:id="144"/>
      <w:r>
        <w:rPr>
          <w:rFonts w:hint="eastAsia" w:ascii="宋体" w:hAnsi="宋体" w:eastAsia="宋体" w:cs="宋体"/>
          <w:color w:val="000000"/>
          <w:szCs w:val="21"/>
          <w:highlight w:val="none"/>
        </w:rPr>
        <w:t>包括项目机构设置、主要勘察人员和作业人员的名单及资格条件。主要勘察人员应相对稳定，更换主要勘察人员的，应取得发包人的同意,并向发包人提交继任人员的资格、管理经验等资料。项目负责人的更换，应按照本章第4.5.1项规定执行。</w:t>
      </w:r>
    </w:p>
    <w:p w14:paraId="0614533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4.6.2 除专用合同条款另有约定外，主要勘察人员包括项目负责人、勘探负责人、试验负责人等；作业人员包括勘探描述（记录）员、机长、观测员、试验员等</w:t>
      </w:r>
      <w:r>
        <w:rPr>
          <w:rFonts w:hint="eastAsia" w:ascii="宋体" w:hAnsi="宋体" w:eastAsia="宋体" w:cs="宋体"/>
          <w:color w:val="000000"/>
          <w:szCs w:val="21"/>
          <w:highlight w:val="none"/>
        </w:rPr>
        <w:t>。</w:t>
      </w:r>
    </w:p>
    <w:p w14:paraId="7F21374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4.6.3</w:t>
      </w:r>
      <w:r>
        <w:rPr>
          <w:rFonts w:hint="eastAsia" w:ascii="宋体" w:hAnsi="宋体" w:eastAsia="宋体" w:cs="宋体"/>
          <w:color w:val="000000"/>
          <w:szCs w:val="21"/>
          <w:highlight w:val="none"/>
        </w:rPr>
        <w:t>勘察人应保证其主要勘察人员（含分包人）在合同期限内的任何时候，都能按时参加发包人组织的工作会议。</w:t>
      </w:r>
    </w:p>
    <w:p w14:paraId="1E3F61E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 xml:space="preserve">4.6.4 </w:t>
      </w:r>
      <w:r>
        <w:rPr>
          <w:rFonts w:hint="eastAsia" w:ascii="宋体" w:hAnsi="宋体" w:eastAsia="宋体" w:cs="宋体"/>
          <w:color w:val="000000"/>
          <w:szCs w:val="21"/>
          <w:highlight w:val="none"/>
        </w:rPr>
        <w:t>国家规定应当持证上岗的工作人员均应持有相应的资格证明，发包人有权随时检查。发包人认为有必要时，可以进行现场考核。</w:t>
      </w:r>
    </w:p>
    <w:p w14:paraId="7C4A03B6">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45" w:name="_Toc482188577"/>
      <w:bookmarkStart w:id="146" w:name="_Toc492300461"/>
      <w:r>
        <w:rPr>
          <w:rFonts w:hint="eastAsia" w:ascii="宋体" w:hAnsi="宋体" w:eastAsia="宋体" w:cs="宋体"/>
          <w:color w:val="000000"/>
          <w:highlight w:val="none"/>
        </w:rPr>
        <w:t>4.7 撤换项目负责人和其他人员</w:t>
      </w:r>
      <w:bookmarkEnd w:id="145"/>
      <w:bookmarkEnd w:id="146"/>
    </w:p>
    <w:p w14:paraId="2DD4649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勘察人应对其项目负责人和其他人员进行有效管理。发包人要求撤换不能胜任本职工作、行</w:t>
      </w:r>
      <w:bookmarkStart w:id="147" w:name="_Toc300835069"/>
      <w:bookmarkStart w:id="148" w:name="_Toc247514071"/>
      <w:bookmarkStart w:id="149" w:name="_Toc247527672"/>
      <w:r>
        <w:rPr>
          <w:rFonts w:hint="eastAsia" w:ascii="宋体" w:hAnsi="宋体" w:eastAsia="宋体" w:cs="宋体"/>
          <w:color w:val="000000"/>
          <w:szCs w:val="21"/>
          <w:highlight w:val="none"/>
        </w:rPr>
        <w:t>为不端或玩忽职守的项目负责人和其</w:t>
      </w:r>
      <w:bookmarkEnd w:id="147"/>
      <w:bookmarkEnd w:id="148"/>
      <w:bookmarkEnd w:id="149"/>
      <w:r>
        <w:rPr>
          <w:rFonts w:hint="eastAsia" w:ascii="宋体" w:hAnsi="宋体" w:eastAsia="宋体" w:cs="宋体"/>
          <w:color w:val="000000"/>
          <w:szCs w:val="21"/>
          <w:highlight w:val="none"/>
        </w:rPr>
        <w:t>他人员的，勘察人应予以撤换。</w:t>
      </w:r>
    </w:p>
    <w:p w14:paraId="2762AF1F">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50" w:name="_Toc492300462"/>
      <w:bookmarkStart w:id="151" w:name="_Toc482188578"/>
      <w:r>
        <w:rPr>
          <w:rFonts w:hint="eastAsia" w:ascii="宋体" w:hAnsi="宋体" w:eastAsia="宋体" w:cs="宋体"/>
          <w:color w:val="000000"/>
          <w:highlight w:val="none"/>
        </w:rPr>
        <w:t>4.8 保障人员的合法权益</w:t>
      </w:r>
      <w:bookmarkEnd w:id="150"/>
      <w:bookmarkEnd w:id="151"/>
    </w:p>
    <w:p w14:paraId="4FC9E5C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4.8.1</w:t>
      </w:r>
      <w:r>
        <w:rPr>
          <w:rFonts w:hint="eastAsia" w:ascii="宋体" w:hAnsi="宋体" w:eastAsia="宋体" w:cs="宋体"/>
          <w:color w:val="000000"/>
          <w:szCs w:val="21"/>
          <w:highlight w:val="none"/>
        </w:rPr>
        <w:t>勘察人应与其雇佣的人员签订劳动合同，并按时发放工资。</w:t>
      </w:r>
    </w:p>
    <w:p w14:paraId="4A1CA4D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4.8.2</w:t>
      </w:r>
      <w:r>
        <w:rPr>
          <w:rFonts w:hint="eastAsia" w:ascii="宋体" w:hAnsi="宋体" w:eastAsia="宋体" w:cs="宋体"/>
          <w:color w:val="000000"/>
          <w:szCs w:val="21"/>
          <w:highlight w:val="none"/>
        </w:rPr>
        <w:t>勘察人应</w:t>
      </w:r>
      <w:bookmarkStart w:id="152" w:name="_Toc247514072"/>
      <w:bookmarkStart w:id="153" w:name="_Toc300835070"/>
      <w:bookmarkStart w:id="154" w:name="_Toc247527673"/>
      <w:r>
        <w:rPr>
          <w:rFonts w:hint="eastAsia" w:ascii="宋体" w:hAnsi="宋体" w:eastAsia="宋体" w:cs="宋体"/>
          <w:color w:val="000000"/>
          <w:szCs w:val="21"/>
          <w:highlight w:val="none"/>
        </w:rPr>
        <w:t>按劳动法的规定安排工作时间</w:t>
      </w:r>
      <w:bookmarkEnd w:id="152"/>
      <w:bookmarkEnd w:id="153"/>
      <w:bookmarkEnd w:id="154"/>
      <w:r>
        <w:rPr>
          <w:rFonts w:hint="eastAsia" w:ascii="宋体" w:hAnsi="宋体" w:eastAsia="宋体" w:cs="宋体"/>
          <w:color w:val="000000"/>
          <w:szCs w:val="21"/>
          <w:highlight w:val="none"/>
        </w:rPr>
        <w:t>，保证其雇佣人员享有休息和休假的权利。因勘察需要占用休假日或延长工作时间的，应不超过法律规定的限度，并按法律规定给予补休或付酬。</w:t>
      </w:r>
    </w:p>
    <w:p w14:paraId="4790199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highlight w:val="none"/>
        </w:rPr>
        <w:t>4.8.3</w:t>
      </w:r>
      <w:r>
        <w:rPr>
          <w:rFonts w:hint="eastAsia" w:ascii="宋体" w:hAnsi="宋体" w:eastAsia="宋体" w:cs="宋体"/>
          <w:color w:val="000000"/>
          <w:szCs w:val="21"/>
          <w:highlight w:val="none"/>
        </w:rPr>
        <w:t>勘察人应为其现场人员提供必要的食宿条件，以及符合环境保护和卫生要求的生活环境，在远离城镇的勘探场地，还应配备必要的伤病防治和急救设施。</w:t>
      </w:r>
    </w:p>
    <w:p w14:paraId="1D07CC67">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4.8.4 勘察人应按国家有关劳动保护的规定，采取有效的防止粉尘、降低噪声、控制有害气体和保障高温、高寒、高空作业安全等劳动保护措施。其雇佣人员在勘探作业中受到伤害的，勘察人应立即采取有效措施进行抢救和治疗。</w:t>
      </w:r>
    </w:p>
    <w:p w14:paraId="1F3A0C5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4.8.5 勘察人应按有关法律规定和合同约定，为其雇佣人员办理保险。</w:t>
      </w:r>
    </w:p>
    <w:p w14:paraId="509C23B4">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55" w:name="_Toc492300463"/>
      <w:bookmarkStart w:id="156" w:name="_Toc482188579"/>
      <w:r>
        <w:rPr>
          <w:rFonts w:hint="eastAsia" w:ascii="宋体" w:hAnsi="宋体" w:eastAsia="宋体" w:cs="宋体"/>
          <w:color w:val="000000"/>
          <w:highlight w:val="none"/>
        </w:rPr>
        <w:t>4.9 合同价款应专款专用</w:t>
      </w:r>
      <w:bookmarkEnd w:id="155"/>
      <w:bookmarkEnd w:id="156"/>
    </w:p>
    <w:p w14:paraId="7FDF9C5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发包人按合同约定支付给勘察人的各项价款，应专用于合同勘察工作。</w:t>
      </w:r>
    </w:p>
    <w:bookmarkEnd w:id="128"/>
    <w:bookmarkEnd w:id="129"/>
    <w:bookmarkEnd w:id="130"/>
    <w:p w14:paraId="606F5951">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57" w:name="_Toc117059898"/>
      <w:bookmarkStart w:id="158" w:name="_Toc492300464"/>
      <w:bookmarkStart w:id="159" w:name="_Toc482188580"/>
      <w:r>
        <w:rPr>
          <w:rFonts w:hint="eastAsia" w:ascii="宋体" w:hAnsi="宋体" w:eastAsia="宋体" w:cs="宋体"/>
          <w:color w:val="000000"/>
          <w:highlight w:val="none"/>
        </w:rPr>
        <w:t>5. 勘察要求</w:t>
      </w:r>
      <w:bookmarkEnd w:id="157"/>
      <w:bookmarkEnd w:id="158"/>
      <w:bookmarkEnd w:id="159"/>
    </w:p>
    <w:p w14:paraId="4ADDD1D0">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60" w:name="_Toc482188581"/>
      <w:bookmarkStart w:id="161" w:name="_Toc492300465"/>
      <w:r>
        <w:rPr>
          <w:rFonts w:hint="eastAsia" w:ascii="宋体" w:hAnsi="宋体" w:eastAsia="宋体" w:cs="宋体"/>
          <w:color w:val="000000"/>
          <w:highlight w:val="none"/>
        </w:rPr>
        <w:t>5.1 一般要求</w:t>
      </w:r>
      <w:bookmarkEnd w:id="160"/>
      <w:bookmarkEnd w:id="161"/>
    </w:p>
    <w:p w14:paraId="4E0AE76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5.1.1 发包人应当遵守法律和规范标准，不得以任何理由要求勘察人违反法律和工程质量、安全标准进行勘察服务，降低工程质量。</w:t>
      </w:r>
    </w:p>
    <w:p w14:paraId="71AB3DA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5.1.2 勘察人应按照法律规定，以及国家、行业和地方的规范和标准完成勘察工作，并应符合发包人要求。各项规范、标准和发包人要求之间如对同一内容的描述不一致时，应以描述更为严格的内容为准。</w:t>
      </w:r>
    </w:p>
    <w:p w14:paraId="2EA1485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5.1.3 除专用合同条款另有约定外，勘察人完成勘察工作所应遵守的法律规定，以及国家、行业和地方的规范和标准，均应视为在基准日适用的版本。基准日之后，前述版本发生重大变化，或者有新的法律，以及国家、行业和地方的规范和标准实施的，勘察人应向发包人提出遵守新规定的建议。发包人应在收到建议后 7 天内发出是否遵守新规定的指示。发包人指示遵守新规定的，按照第 11 条约定执行。</w:t>
      </w:r>
    </w:p>
    <w:p w14:paraId="3F291697">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62" w:name="_Toc482188582"/>
      <w:bookmarkStart w:id="163" w:name="_Toc492300466"/>
      <w:r>
        <w:rPr>
          <w:rFonts w:hint="eastAsia" w:ascii="宋体" w:hAnsi="宋体" w:eastAsia="宋体" w:cs="宋体"/>
          <w:color w:val="000000"/>
          <w:highlight w:val="none"/>
        </w:rPr>
        <w:t>5.2 勘察依据</w:t>
      </w:r>
      <w:bookmarkEnd w:id="162"/>
      <w:bookmarkEnd w:id="163"/>
    </w:p>
    <w:p w14:paraId="148209F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除专用合同条款另有约定外，本工程的勘察依据如下：</w:t>
      </w:r>
    </w:p>
    <w:p w14:paraId="27B684A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（1）适用的法律、行政法规及部门规章；</w:t>
      </w:r>
    </w:p>
    <w:p w14:paraId="2B81AC3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（2）与工程有关的规范、标准、规程；</w:t>
      </w:r>
    </w:p>
    <w:p w14:paraId="4A61D23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（3）工程基础资料及其他文件；</w:t>
      </w:r>
    </w:p>
    <w:p w14:paraId="09CE8E0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（4）本勘察服务合同及补充合同；</w:t>
      </w:r>
    </w:p>
    <w:p w14:paraId="64BA7D7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（5）本工程</w:t>
      </w:r>
      <w:r>
        <w:rPr>
          <w:rFonts w:hint="eastAsia" w:ascii="宋体" w:hAnsi="宋体" w:eastAsia="宋体" w:cs="宋体"/>
          <w:snapToGrid w:val="0"/>
          <w:color w:val="000000"/>
          <w:kern w:val="0"/>
          <w:highlight w:val="none"/>
        </w:rPr>
        <w:t>设计</w:t>
      </w:r>
      <w:r>
        <w:rPr>
          <w:rFonts w:hint="eastAsia" w:ascii="宋体" w:hAnsi="宋体" w:eastAsia="宋体" w:cs="宋体"/>
          <w:color w:val="000000"/>
          <w:szCs w:val="21"/>
          <w:highlight w:val="none"/>
        </w:rPr>
        <w:t>和施工需求；</w:t>
      </w:r>
    </w:p>
    <w:p w14:paraId="7E20431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（6）合同履行中与勘察服务有关的来往函件；</w:t>
      </w:r>
    </w:p>
    <w:p w14:paraId="38ADE25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（7）其他勘察依据。</w:t>
      </w:r>
    </w:p>
    <w:p w14:paraId="12C6F093">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64" w:name="_Toc492300467"/>
      <w:bookmarkStart w:id="165" w:name="_Toc482188583"/>
      <w:r>
        <w:rPr>
          <w:rFonts w:hint="eastAsia" w:ascii="宋体" w:hAnsi="宋体" w:eastAsia="宋体" w:cs="宋体"/>
          <w:color w:val="000000"/>
          <w:highlight w:val="none"/>
        </w:rPr>
        <w:t>5.3 勘察范围</w:t>
      </w:r>
      <w:bookmarkEnd w:id="164"/>
      <w:bookmarkEnd w:id="165"/>
    </w:p>
    <w:p w14:paraId="3EC661B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bookmarkStart w:id="166" w:name="_Toc482188584"/>
      <w:r>
        <w:rPr>
          <w:rFonts w:hint="eastAsia" w:ascii="宋体" w:hAnsi="宋体" w:eastAsia="宋体" w:cs="宋体"/>
          <w:color w:val="000000"/>
          <w:szCs w:val="21"/>
          <w:highlight w:val="none"/>
        </w:rPr>
        <w:t>5.3.1 本合同的勘察范围包括工程范围、阶段范围和工作范围，具体勘察范围应当根据三者之间的关联内容进行确定。</w:t>
      </w:r>
    </w:p>
    <w:p w14:paraId="5EC818F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5.3.2 工程范围指所勘察工程的建设内容，具体范围在专用合同条款中约定。</w:t>
      </w:r>
    </w:p>
    <w:p w14:paraId="1D65F43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5.3.3 阶段范围指工程建设程序中的可行性研究勘察、初步勘察、详细勘察、施工勘察等阶段中的一个或者多个阶段，具体范围在专用合同条款中约定。</w:t>
      </w:r>
    </w:p>
    <w:p w14:paraId="4989F43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5.3.4 工作范围指工程测量、岩土工程勘察、岩土工程</w:t>
      </w:r>
      <w:r>
        <w:rPr>
          <w:rFonts w:hint="eastAsia" w:ascii="宋体" w:hAnsi="宋体" w:eastAsia="宋体" w:cs="宋体"/>
          <w:snapToGrid w:val="0"/>
          <w:color w:val="000000"/>
          <w:kern w:val="0"/>
          <w:highlight w:val="none"/>
        </w:rPr>
        <w:t>设计</w:t>
      </w:r>
      <w:r>
        <w:rPr>
          <w:rFonts w:hint="eastAsia" w:ascii="宋体" w:hAnsi="宋体" w:eastAsia="宋体" w:cs="宋体"/>
          <w:color w:val="000000"/>
          <w:szCs w:val="21"/>
          <w:highlight w:val="none"/>
        </w:rPr>
        <w:t>（如有）、提供技术交底、施工配合、参加试车（试运行）、竣工验收和发包人委托的其他服务中的一项或者多项工作，具体范围在专用合同条款中约定。</w:t>
      </w:r>
    </w:p>
    <w:bookmarkEnd w:id="131"/>
    <w:bookmarkEnd w:id="166"/>
    <w:p w14:paraId="43B4A0C7">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67" w:name="_Toc492300468"/>
      <w:bookmarkStart w:id="168" w:name="_Toc482188591"/>
      <w:r>
        <w:rPr>
          <w:rFonts w:hint="eastAsia" w:ascii="宋体" w:hAnsi="宋体" w:eastAsia="宋体" w:cs="宋体"/>
          <w:color w:val="000000"/>
          <w:highlight w:val="none"/>
        </w:rPr>
        <w:t>5.4 勘察文件要求</w:t>
      </w:r>
      <w:bookmarkEnd w:id="167"/>
    </w:p>
    <w:p w14:paraId="65DB3FE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5.4.1 测绘</w:t>
      </w:r>
    </w:p>
    <w:p w14:paraId="64C6197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（1）除专用合同条款另有约定外，发包人应在开始勘察前 7 日内，向勘察人提供测量基准点、水准点和书面资料等；勘察人应根据国家测绘基准、测绘系统和工程测量技术规范，按发包人要求的基准点以及合同工程精度要求，进行测绘。</w:t>
      </w:r>
    </w:p>
    <w:p w14:paraId="13765E0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（2）勘察人测绘之前，应当认真核对测绘数据，保证引用数据和原始数据准确无误。测绘工作应由测量人员如实记录，不得补记、涂改或者损坏。</w:t>
      </w:r>
    </w:p>
    <w:p w14:paraId="331E67E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（3）工程勘探之前，勘察人应当严格按照勘察方案的孔位坐标，进行测量放线并在实地位置定位，埋设带有编号且不易移动的标志桩进行定位控制。</w:t>
      </w:r>
    </w:p>
    <w:p w14:paraId="7BB134C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5.4.2 勘探</w:t>
      </w:r>
    </w:p>
    <w:p w14:paraId="747B454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（1）勘察人应当根据勘察目的和岩土特性，合理选择钻探、井探、槽探、洞探和地球物理勘探等勘探方法，为完成合同约定的勘察任务创造条件。勘察人对于勘察方法的正确性、适用性和可靠性完全负责。</w:t>
      </w:r>
    </w:p>
    <w:p w14:paraId="1946CF3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勘察人布置勘探工作时，应当充分考虑勘探方法对于自然环境、周边设施、建构筑物、地下管线、架空线和其他物体的影响，采用切实有效的措施进行防范控制，不得造成损坏或中断运行，否则由此导致的费用增加和（或）周期延误由勘察人自行承担。</w:t>
      </w:r>
    </w:p>
    <w:p w14:paraId="2CAD58B1">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（3）勘察人应在标定的孔位处进行勘探，不得随意改动位置。勘探方法、勘探机具、勘探记录、取样编录与描述，孔位标记、孔位封闭等事项，应当严格执行规范标准，按实填写勘探报表和勘探日志。</w:t>
      </w:r>
    </w:p>
    <w:p w14:paraId="49AFCEE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勘探工作完成后，勘察人应当按照规范要求及时封孔，并将封孔记录整理存档，勘探场地应当地面平整、清洁卫生，并通知发包人、行政主管部门及使用维护单位进行现场验收。验收通过之后如果发生沉陷，勘察人应当及时进行二次封孔和现场验收。</w:t>
      </w:r>
    </w:p>
    <w:p w14:paraId="26AB190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5.4.3 取样</w:t>
      </w:r>
    </w:p>
    <w:p w14:paraId="00B425C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勘察人应当针对不同的岩土地质，按照勘探取样规范规程中的相关规定，根据地层特征、取样深度、设备条件和试验项目的不同，合理选用取样方法和取样工具进行取样，包括并不限于土样、水样、岩芯等。</w:t>
      </w:r>
    </w:p>
    <w:p w14:paraId="4EADAA3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取样后的样品应当根据其类别、性质和特点等进行封装、贮存和运输。样品搬运之前，宜用数码相机进行现场拍照；运输途中应当采用柔软材料充填、尽量避免震动和阳光曝晒；装卸之时尽量轻拿轻放，以免样品损坏。</w:t>
      </w:r>
    </w:p>
    <w:p w14:paraId="1DDE491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（3）取样后的样品应当填写和粘贴标签，标签内容包括并不限于工程名称、孔号、样品编号、取样深度、样品名称、取样日期、取样人姓名、施工机组等。</w:t>
      </w:r>
    </w:p>
    <w:p w14:paraId="6D1CEB7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5.4.4 试验</w:t>
      </w:r>
    </w:p>
    <w:p w14:paraId="6B0D1EF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（1）勘察人应当根据岩土条件、</w:t>
      </w:r>
      <w:r>
        <w:rPr>
          <w:rFonts w:hint="eastAsia" w:ascii="宋体" w:hAnsi="宋体" w:eastAsia="宋体" w:cs="宋体"/>
          <w:snapToGrid w:val="0"/>
          <w:color w:val="000000"/>
          <w:kern w:val="0"/>
          <w:highlight w:val="none"/>
        </w:rPr>
        <w:t>设计</w:t>
      </w:r>
      <w:r>
        <w:rPr>
          <w:rFonts w:hint="eastAsia" w:ascii="宋体" w:hAnsi="宋体" w:eastAsia="宋体" w:cs="宋体"/>
          <w:color w:val="000000"/>
          <w:szCs w:val="21"/>
          <w:highlight w:val="none"/>
        </w:rPr>
        <w:t>要求、勘察经验和测试方法特点，选用合适的原位测试方法和勘察设备进行原位测试。原位测试成果应与室内试验数据进行对比分析，检验其可靠性。</w:t>
      </w:r>
    </w:p>
    <w:p w14:paraId="42B4EAE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（2）勘察人的试验室应当通过行业管理部门认可的 CMA 计量认证，具有相应的资格证书、试验人员和试验条件，否则应当委托第三方试验室进行室内试验。</w:t>
      </w:r>
    </w:p>
    <w:p w14:paraId="766B26DF">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勘察人应在试验之前按照要求清点样品数目，认定取样质量及数量是否满足试验需要；勘察设备应当检定合格，性能参数满足试验要求，严格按照规范标准的相应规定进行试验操作；试验之后应在有效期内保留备样，以备复核试验成果之用，并按规范标准规定处理余土和废液，符合环境保护、健康卫生等要求。</w:t>
      </w:r>
    </w:p>
    <w:p w14:paraId="1316CD1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（4）试验报告的格式应当符合 CMA 计量认证体系要求，加盖 CMA 章并由试验负责人签字确认；试验负责人应当通过计量认证考核，并由项目负责人授权许可。</w:t>
      </w:r>
    </w:p>
    <w:p w14:paraId="2D5400F1">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5.5</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勘察设备要求</w:t>
      </w:r>
    </w:p>
    <w:p w14:paraId="39736DA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5.5.1 勘察人应按合同进度计划的要求，及时配置勘察设备进行作业。勘察人更换合同约定的勘察设备的，应报发包人批准。</w:t>
      </w:r>
    </w:p>
    <w:p w14:paraId="3D71B0F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5.5.2 勘察人应当按照规范要求，及时维修、保养或更换勘察设备，包括并不限于钻机、触探仪、全站仪、水准仪、探测仪、测井平台、天平、固结仪、振筛机、干燥箱、直剪仪、收缩仪、膨胀仪、渗透仪等，保证勘察设备能够随时进场使用。</w:t>
      </w:r>
    </w:p>
    <w:p w14:paraId="6D3163D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5.5.3 勘察人使用的勘察设备不能满足合同进度计划和（或）质量要求时，发包人有权要求勘察人增加或更换勘察设备，勘察人应及时增加或更换，由此增加的费用和（或）周期延误由勘察人自行承担。</w:t>
      </w:r>
    </w:p>
    <w:p w14:paraId="389702C4">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5.6</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临时占地和设施要求</w:t>
      </w:r>
    </w:p>
    <w:p w14:paraId="17E3629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5.6.1 勘察人应当根据勘察服务方案制订临时占地计划，报请发包人批准。</w:t>
      </w:r>
    </w:p>
    <w:p w14:paraId="4BA75D4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5.6.2 位于本工程区域内的临时占地，由发包人协调提供。位于道路、绿化或者其他市政设施内的临时占地，由勘察人向行政管理部门报建申请，按照要求制定占地施工方案，并据此实施。</w:t>
      </w:r>
    </w:p>
    <w:p w14:paraId="0ADC319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5.6.3 临时占地使用完毕后，勘察人应当按照发包人要求或行政管理部门规定恢复临时占地。如果恢复或清理标准不能满足要求的，发包人有权委托他人代为恢复或清理，由此发生的费用从拟支付给勘察人的勘察费用中扣除。</w:t>
      </w:r>
    </w:p>
    <w:p w14:paraId="34E5BF5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5.6.4 勘察人应当配备或搭设足够的临时设施，保证勘探工作能够正常开展。临时设施包括并不限于施工围挡、交通疏导设施、安全防范设施、钻机防护设施、安全文明施工设施、办公生活用房、取样存放场所等。</w:t>
      </w:r>
    </w:p>
    <w:p w14:paraId="4365270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5.6.5 临时设施应当满足规范标准、发包人要求和行政管理部门的规定等。除专用合同条款另有约定外，临时设施的修建、拆除和恢复费用由勘察人自行承担。</w:t>
      </w:r>
    </w:p>
    <w:p w14:paraId="12E4D976">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5.7</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安全作业要求</w:t>
      </w:r>
    </w:p>
    <w:p w14:paraId="05FF66A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5.7.1 勘察人应按合同约定履行安全职责，执行发包人有关安全工作的指示，并在专用合同条款约定的期限内，按合同约定的安全工作内容，编制安全措施计划报送发包人批准。</w:t>
      </w:r>
    </w:p>
    <w:p w14:paraId="3B94C1B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5.7.2 勘察人应当严格执行操作规程，采取有效措施保证道路、桥梁、交通安全设施、建构筑物、地下管线、架空线和其他周边设施等安全正常地运行。</w:t>
      </w:r>
    </w:p>
    <w:p w14:paraId="387F432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5.7.3 勘察人应当按照法律、法规和工程建设强制性标准进行勘察，加强勘察作业安全管理，特别加强易燃、易爆材料、火工器材、有毒与腐蚀性材料和其他危险品的管理。</w:t>
      </w:r>
    </w:p>
    <w:p w14:paraId="1B24FD3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5.7.4 勘察人应严格按照国家安全标准制定施工安全操作规程，配备必要的安全生产和劳动保护设施，加强对勘察人人员的安全教育，并且发放安全工作手册和劳动保护用具。</w:t>
      </w:r>
    </w:p>
    <w:p w14:paraId="56E34A2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5.7.5 勘察人应按发包人的指示制定应对灾害的紧急预案，报送发包人批准。勘察人还应按预案做好安全检查，配置必要的救助物资和器材，切实保护好有关人员的人身和财产安全。</w:t>
      </w:r>
    </w:p>
    <w:p w14:paraId="173B077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5.7.6 勘察人应对其履行合同所雇佣的全部人员，包括分包人人员的工伤事故承担责任，但由于发包人原因造成勘察人人员工伤事故的，应由发包人承担责任。</w:t>
      </w:r>
    </w:p>
    <w:p w14:paraId="0940C29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5.7.7 由于勘察人原因在施工场地内及其毗邻地带造成的第三者人员伤亡和财产损失，由勘察人负责赔偿。</w:t>
      </w:r>
    </w:p>
    <w:p w14:paraId="25CF6829">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5.8</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环境保护要求</w:t>
      </w:r>
    </w:p>
    <w:p w14:paraId="60E845D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5.8.1 勘察人在履行合同过程中，应遵守有关环境保护的法律，履行合同约定的环境保护义务，并对违反法律和合同约定义务所造成的环境破坏、人身伤害和财产损失负责。</w:t>
      </w:r>
    </w:p>
    <w:p w14:paraId="414C94C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5.8.2 勘察人应按合同约定的环保工作内容，编制环保措施计划，报送发包人批准。</w:t>
      </w:r>
    </w:p>
    <w:p w14:paraId="6CCDA76F">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5.8.3 勘察人应确保勘探过程中产生的气体排放物、粉尘、噪声、地面排水及排污等，符合法律规定和发包人要求。</w:t>
      </w:r>
    </w:p>
    <w:p w14:paraId="72914C83">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5.9</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事故处理要求</w:t>
      </w:r>
    </w:p>
    <w:p w14:paraId="1D9A7D2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5.9.1 合同履行过程中发生事故的，勘察人应立即通知发包人。</w:t>
      </w:r>
    </w:p>
    <w:p w14:paraId="3F5845C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5.9.2 发包人和勘察人应立即组织人员和设备进行紧急抢救和抢修，减少人员伤亡和财产损失，防止事故扩大，并保护事故现场。需要移动现场物品时，应作出标记和书面记录，妥善保管有关证据。发包人和勘察人应按国家有关规定，及时如实地向有关部门报告事故发生的情况，以及正在采取的紧急措施等。</w:t>
      </w:r>
    </w:p>
    <w:p w14:paraId="5527B13C">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5.10 勘察文件要求</w:t>
      </w:r>
    </w:p>
    <w:p w14:paraId="5C493DC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5.10.1 勘察文件的编制应符合法律法规、规范标准的强制性规定和发包人要求，相关勘察依据应完整、准确、可靠，勘察方案论证充分，计算成果规范可靠，并能够实施。</w:t>
      </w:r>
    </w:p>
    <w:p w14:paraId="144A2AC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5.10.2 勘察文件的深度应满足本合同相应勘察阶段的规定要求，满足发包人的下步工作需要，并应符合国家和行业现行规定。</w:t>
      </w:r>
    </w:p>
    <w:p w14:paraId="6BC8F072">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69" w:name="_Toc492300469"/>
      <w:bookmarkStart w:id="170" w:name="_Toc117059899"/>
      <w:r>
        <w:rPr>
          <w:rFonts w:hint="eastAsia" w:ascii="宋体" w:hAnsi="宋体" w:eastAsia="宋体" w:cs="宋体"/>
          <w:color w:val="000000"/>
          <w:highlight w:val="none"/>
        </w:rPr>
        <w:t>6. 开始勘察和完成</w:t>
      </w:r>
      <w:bookmarkEnd w:id="168"/>
      <w:bookmarkEnd w:id="169"/>
      <w:r>
        <w:rPr>
          <w:rFonts w:hint="eastAsia" w:ascii="宋体" w:hAnsi="宋体" w:eastAsia="宋体" w:cs="宋体"/>
          <w:color w:val="000000"/>
          <w:highlight w:val="none"/>
        </w:rPr>
        <w:t>勘察</w:t>
      </w:r>
      <w:bookmarkEnd w:id="170"/>
    </w:p>
    <w:p w14:paraId="1FCC98BD">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71" w:name="_Toc482188592"/>
      <w:bookmarkStart w:id="172" w:name="_Toc492300470"/>
      <w:r>
        <w:rPr>
          <w:rFonts w:hint="eastAsia" w:ascii="宋体" w:hAnsi="宋体" w:eastAsia="宋体" w:cs="宋体"/>
          <w:color w:val="000000"/>
          <w:highlight w:val="none"/>
        </w:rPr>
        <w:t>6.1 开始</w:t>
      </w:r>
      <w:bookmarkEnd w:id="171"/>
      <w:bookmarkEnd w:id="172"/>
      <w:r>
        <w:rPr>
          <w:rFonts w:hint="eastAsia" w:ascii="宋体" w:hAnsi="宋体" w:eastAsia="宋体" w:cs="宋体"/>
          <w:color w:val="000000"/>
          <w:highlight w:val="none"/>
        </w:rPr>
        <w:t>勘察</w:t>
      </w:r>
    </w:p>
    <w:p w14:paraId="726B9E9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6.1.1 符合专用合同条款约定的开始勘察条件的，发包人应提前 7 天向勘察人发出开始勘察通知。勘察服务期限自开始勘察通知中载明的开始勘察日期起计算。</w:t>
      </w:r>
    </w:p>
    <w:p w14:paraId="317A38B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6.1.2 除专用合同条款另有约定外，因发包人原因造成合同签订之日起 90 天内未能发出开始勘察通知的，勘察人有权提出价格调整要求，或者解除合同。发包人应当承担由此增加的费用和（或）周期延误。</w:t>
      </w:r>
    </w:p>
    <w:p w14:paraId="317E0609">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6.2 发包人引起的周期延误</w:t>
      </w:r>
    </w:p>
    <w:p w14:paraId="4792364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在履行合同过程中，由于发包人的下列原因造成勘察服务期限延误的，发包人应当延长勘察服务期限并增加勘察费用，具体方法在专用合同条款中约定。</w:t>
      </w:r>
    </w:p>
    <w:p w14:paraId="2732E48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（1）合同变更；</w:t>
      </w:r>
    </w:p>
    <w:p w14:paraId="5BD93A3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（2）未按合同约定期限及时答复勘察事项；</w:t>
      </w:r>
    </w:p>
    <w:p w14:paraId="72A4C04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（3）因发包人原因导致的暂停勘察；</w:t>
      </w:r>
    </w:p>
    <w:p w14:paraId="6379DE4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（4）未按合同约定及时支付勘察费用；</w:t>
      </w:r>
    </w:p>
    <w:p w14:paraId="77F7912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（5）发包人提供的基准资料错误；</w:t>
      </w:r>
    </w:p>
    <w:p w14:paraId="4458E2C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（6）未及时按照履行合同约定的相关义务；</w:t>
      </w:r>
    </w:p>
    <w:p w14:paraId="2C7C77AF">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（7）未能按照合同约定期限对勘察文件进行审查；</w:t>
      </w:r>
    </w:p>
    <w:p w14:paraId="6D3382A1">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（8）发包人造成周期延误的其他原因。</w:t>
      </w:r>
    </w:p>
    <w:p w14:paraId="4BA9122D">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6.3</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非人为因素引起的周期延误</w:t>
      </w:r>
    </w:p>
    <w:p w14:paraId="746A260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6.3.1 由于出现专用合同条款规定的异常恶劣气候条件、不利物质条件等因素导致周期延误的，勘察人有权要求发包人延长周期和（或）增加费用。</w:t>
      </w:r>
    </w:p>
    <w:p w14:paraId="77E8067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6.3.2 勘察人发现地下文物或化石时，应按规定及时报告发包人和文物部门，并采取有效措施进行保护；勘察人有权要求发包人延长周期和（或）增加费用。</w:t>
      </w:r>
    </w:p>
    <w:p w14:paraId="750F9276">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6.4</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勘察人引起的周期延误</w:t>
      </w:r>
    </w:p>
    <w:p w14:paraId="7756A64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由于勘察人原因造成周期延误，勘察人应支付逾期违约金。逾期违约金的计算方法和最高限额在专用合同条款中约定。</w:t>
      </w:r>
    </w:p>
    <w:p w14:paraId="15838BFF">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6.5 第三人引起的周期延误</w:t>
      </w:r>
    </w:p>
    <w:p w14:paraId="6380D29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由于行政管理部门审查或其他第三人原因造成费用增加和（或）周期延误的，由发包人承担。</w:t>
      </w:r>
    </w:p>
    <w:p w14:paraId="5DB77294">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6.6</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完成勘察</w:t>
      </w:r>
    </w:p>
    <w:p w14:paraId="123C659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6.6.1 勘察人完成勘察服务之后，应当根据法律、规范标准、合同约定和发包人要求编制勘察文件。</w:t>
      </w:r>
    </w:p>
    <w:p w14:paraId="5D6E7C77">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6.6.2 勘察文件是工程勘察的最终成果和</w:t>
      </w:r>
      <w:r>
        <w:rPr>
          <w:rFonts w:hint="eastAsia" w:ascii="宋体" w:hAnsi="宋体" w:eastAsia="宋体" w:cs="宋体"/>
          <w:snapToGrid w:val="0"/>
          <w:color w:val="000000"/>
          <w:kern w:val="0"/>
          <w:highlight w:val="none"/>
        </w:rPr>
        <w:t>设计</w:t>
      </w:r>
      <w:r>
        <w:rPr>
          <w:rFonts w:hint="eastAsia" w:ascii="宋体" w:hAnsi="宋体" w:eastAsia="宋体" w:cs="宋体"/>
          <w:color w:val="000000"/>
          <w:szCs w:val="21"/>
          <w:highlight w:val="none"/>
        </w:rPr>
        <w:t>施工的重要依据，应当根据本工程的勘察内容和不同阶段的勘察任务、目的和要求等进行编制。勘察文件的内容和深度应当满足对应阶段的</w:t>
      </w:r>
      <w:r>
        <w:rPr>
          <w:rFonts w:hint="eastAsia" w:ascii="宋体" w:hAnsi="宋体" w:eastAsia="宋体" w:cs="宋体"/>
          <w:snapToGrid w:val="0"/>
          <w:color w:val="000000"/>
          <w:kern w:val="0"/>
          <w:highlight w:val="none"/>
        </w:rPr>
        <w:t>设计</w:t>
      </w:r>
      <w:r>
        <w:rPr>
          <w:rFonts w:hint="eastAsia" w:ascii="宋体" w:hAnsi="宋体" w:eastAsia="宋体" w:cs="宋体"/>
          <w:color w:val="000000"/>
          <w:szCs w:val="21"/>
          <w:highlight w:val="none"/>
        </w:rPr>
        <w:t>需求。</w:t>
      </w:r>
    </w:p>
    <w:p w14:paraId="0951F0D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6.6.3 除专用合同条款另有约定外，勘察文件包括纸质文件和电子文件两种形式，两者若有不一致时，应以纸质文件为准。纸质文件一式八份，应当加盖单位章和项目负责人注册执业印章；电子文件中的文字为 WORD 格式、图形为 CAD 格式，并应使用光盘和 U 盘分别贮存。</w:t>
      </w:r>
    </w:p>
    <w:p w14:paraId="39EEF007">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6.7</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提前完成勘察</w:t>
      </w:r>
    </w:p>
    <w:p w14:paraId="73D0B2A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6.7.1 根据发包人要求或者基于专业能力判断，勘察人认为能够提前完成勘察的，可向发包人递交一份提前完成勘察建议书，包括实施方案、提前时间、勘察费用变动等内容。除专用合同条款另有约定之外，发包人接受建议书的，不因提前完成勘察而减少勘察费用；增加勘察费用的，所增费用由发包人承担。</w:t>
      </w:r>
    </w:p>
    <w:p w14:paraId="49BF1DD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6.7.2 发包人要求提前完成勘察但勘察人认为无法实施的，应在收到发包人书面指示后 7 天内提出异议，说明不能提前完成的理由。发包人应在收到异议后 7 天内予以答复。任何情况下，发包人不得压缩合理的勘察服务期限。</w:t>
      </w:r>
    </w:p>
    <w:p w14:paraId="211CABF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6.7.3 由于勘察人提前完成勘察而给发包人带来经济效益的，发包人可以在专用合同条款中约定勘察人因此获得的奖励内容。</w:t>
      </w:r>
    </w:p>
    <w:p w14:paraId="432D1A40">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bookmarkStart w:id="173" w:name="_Toc482188599"/>
      <w:bookmarkStart w:id="174" w:name="_Toc492300476"/>
      <w:bookmarkStart w:id="175" w:name="_Toc117059900"/>
      <w:r>
        <w:rPr>
          <w:rFonts w:hint="eastAsia" w:ascii="宋体" w:hAnsi="宋体" w:eastAsia="宋体" w:cs="宋体"/>
          <w:color w:val="000000"/>
          <w:highlight w:val="none"/>
        </w:rPr>
        <w:t>7. 暂停</w:t>
      </w:r>
      <w:bookmarkEnd w:id="173"/>
      <w:bookmarkEnd w:id="174"/>
      <w:r>
        <w:rPr>
          <w:rFonts w:hint="eastAsia" w:ascii="宋体" w:hAnsi="宋体" w:eastAsia="宋体" w:cs="宋体"/>
          <w:color w:val="000000"/>
          <w:highlight w:val="none"/>
        </w:rPr>
        <w:t>勘察</w:t>
      </w:r>
      <w:bookmarkEnd w:id="175"/>
    </w:p>
    <w:p w14:paraId="5ACDBF64">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7.1</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发包人原因暂停勘察</w:t>
      </w:r>
    </w:p>
    <w:p w14:paraId="07BA65CF">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合同履行中发生下列情形之一的，勘察人可向发包人发出通知，要求发包人采取有效措施予以纠正。发包人收到勘察人通知后的 28 天内仍不履行合同义务时，勘察人有权暂停勘察并通知发包人；发包人应承担由此导致的费用增加和（或）周期延误。</w:t>
      </w:r>
    </w:p>
    <w:p w14:paraId="6EFE2B4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（1）发包人违约；</w:t>
      </w:r>
    </w:p>
    <w:p w14:paraId="448146B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（2）发发包人确定暂停勘察；</w:t>
      </w:r>
    </w:p>
    <w:p w14:paraId="74F5846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（3）合同约定由发包人承担责任的其他情形。</w:t>
      </w:r>
    </w:p>
    <w:p w14:paraId="08F0AA33">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7.2 勘察人原因暂停勘察</w:t>
      </w:r>
    </w:p>
    <w:p w14:paraId="7A07838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合同履行中发生下列情形之一的，发包人可向勘察人发出通知暂停勘察，由此造成费用的增加和（或）周期延误由勘察人承担：</w:t>
      </w:r>
    </w:p>
    <w:p w14:paraId="3EB0126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（1）勘察人违约；</w:t>
      </w:r>
    </w:p>
    <w:p w14:paraId="49DCB2E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（2）勘察人擅自暂停勘察；</w:t>
      </w:r>
    </w:p>
    <w:p w14:paraId="39C522A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（3）合同约定由勘察人承担责任的其他情形。</w:t>
      </w:r>
    </w:p>
    <w:p w14:paraId="7F73B6D3">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7.3 暂停期间的文件照管</w:t>
      </w:r>
    </w:p>
    <w:p w14:paraId="15B9780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不论由于何种原因引起暂停勘察的，暂停期间勘察人应负责妥善保护已完部分的勘察文件，由此增加的费用由责任方承担。</w:t>
      </w:r>
    </w:p>
    <w:p w14:paraId="0F167ACE">
      <w:pPr>
        <w:pStyle w:val="4"/>
        <w:pageBreakBefore w:val="0"/>
        <w:widowControl w:val="0"/>
        <w:kinsoku/>
        <w:wordWrap/>
        <w:overflowPunct/>
        <w:topLinePunct w:val="0"/>
        <w:autoSpaceDE/>
        <w:autoSpaceDN/>
        <w:bidi w:val="0"/>
        <w:adjustRightInd/>
        <w:snapToGrid/>
        <w:spacing w:before="0" w:after="0" w:line="360" w:lineRule="auto"/>
        <w:ind w:firstLine="137"/>
        <w:textAlignment w:val="auto"/>
        <w:rPr>
          <w:rFonts w:hint="eastAsia" w:ascii="宋体" w:hAnsi="宋体" w:eastAsia="宋体" w:cs="宋体"/>
          <w:color w:val="000000"/>
          <w:highlight w:val="none"/>
        </w:rPr>
      </w:pPr>
      <w:bookmarkStart w:id="176" w:name="_Toc117059901"/>
      <w:r>
        <w:rPr>
          <w:rFonts w:hint="eastAsia" w:ascii="宋体" w:hAnsi="宋体" w:eastAsia="宋体" w:cs="宋体"/>
          <w:color w:val="000000"/>
          <w:highlight w:val="none"/>
        </w:rPr>
        <w:t>8. 勘察文件</w:t>
      </w:r>
      <w:bookmarkEnd w:id="176"/>
    </w:p>
    <w:p w14:paraId="7DDA5365">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8.1 勘察文件接收</w:t>
      </w:r>
    </w:p>
    <w:p w14:paraId="71D8107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8.1.1 发包人应当及时接收勘察人提交的勘察文件。如无正当理由拒收的，视为发包人已经接收勘察文件。</w:t>
      </w:r>
    </w:p>
    <w:p w14:paraId="356AE63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8.1.2 发包人接收勘察文件时，应向勘察人出具文件签收凭证，凭证内容包括图纸名称、图纸内容、图纸形式、份数、提交和接收日期、提交人与接收人的亲笔签名等。</w:t>
      </w:r>
    </w:p>
    <w:p w14:paraId="3E31819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8.1.3 勘察文件提交的份数、内容、纸幅、装订格式、电子文件、展板、模型、沙盘、动画等要求，在专用合同条款中约定。</w:t>
      </w:r>
    </w:p>
    <w:p w14:paraId="496CB174">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8.2 发包人审查勘察文件</w:t>
      </w:r>
    </w:p>
    <w:p w14:paraId="3428C6A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8.2.1 发包人接收勘察文件之后，可以自行或者组织专家会进行审查，勘察人应当给予配合。审查标准应当符合法律、规范标准、合同约定和发包人要求等；审查的具体范围、明细内容和费用分担，在专用合同条款中约定。</w:t>
      </w:r>
    </w:p>
    <w:p w14:paraId="6F2275D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8.2.2 除专用合同条款另有约定外，发包人对于勘察文件的审查期限，自文件接收之日起不应超过14天。发包人逾期未做出审查结论且未提出异议的，视为勘察人的勘察文件已经通过发包人审查。</w:t>
      </w:r>
    </w:p>
    <w:p w14:paraId="0CEFD9A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8.2.3 发包人审查后不同意勘察文件的，应以书面形式通知设勘察人，说明审查不通过的理由及其具体内容。勘察人应根据发包人的审查意见修改完善勘察文件，并重新报送发包人审查，审查期限重新起算。</w:t>
      </w:r>
    </w:p>
    <w:p w14:paraId="7C604B17">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8.3 审查机构审查勘察文件</w:t>
      </w:r>
    </w:p>
    <w:p w14:paraId="48C56FD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8.3.1 勘察文件需经政府有关部门审查或批准的，发包人应在审查同意后，按照有关主管部门要求，将勘察文件和相关资料报送施工图审查机构进行审查。发包人的审查和施工图审查机构的审查不减免勘察人因为质量问题而应承担的勘察责任。</w:t>
      </w:r>
    </w:p>
    <w:p w14:paraId="1284BD4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8.3.2 对于施工图审查机构的审查意见，如不需要修改发包人要求的，应由勘察人按照审查意见修改完善勘察文件；如需修改发包人要求的，则由发包人重新修改和提出发包人要求，再由勘察人根据新的发包人要求修改完善勘察文件。</w:t>
      </w:r>
    </w:p>
    <w:p w14:paraId="4D0C1C1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8.3.3 由于自身原因造成勘察文件未通过审查机构审查的，勘察人应当承担违约责任，采取补救措施直至达到合同约定的质量标准，并自行承担由此导致的费用增加和（或）周期延误。</w:t>
      </w:r>
    </w:p>
    <w:p w14:paraId="4C2F6031">
      <w:pPr>
        <w:pStyle w:val="4"/>
        <w:pageBreakBefore w:val="0"/>
        <w:widowControl w:val="0"/>
        <w:kinsoku/>
        <w:wordWrap/>
        <w:overflowPunct/>
        <w:topLinePunct w:val="0"/>
        <w:autoSpaceDE/>
        <w:autoSpaceDN/>
        <w:bidi w:val="0"/>
        <w:adjustRightInd/>
        <w:snapToGrid/>
        <w:spacing w:before="0" w:after="0" w:line="360" w:lineRule="auto"/>
        <w:ind w:firstLine="137"/>
        <w:textAlignment w:val="auto"/>
        <w:rPr>
          <w:rFonts w:hint="eastAsia" w:ascii="宋体" w:hAnsi="宋体" w:eastAsia="宋体" w:cs="宋体"/>
          <w:color w:val="000000"/>
          <w:highlight w:val="none"/>
        </w:rPr>
      </w:pPr>
      <w:bookmarkStart w:id="177" w:name="_Toc117059902"/>
      <w:r>
        <w:rPr>
          <w:rFonts w:hint="eastAsia" w:ascii="宋体" w:hAnsi="宋体" w:eastAsia="宋体" w:cs="宋体"/>
          <w:color w:val="000000"/>
          <w:highlight w:val="none"/>
        </w:rPr>
        <w:t>9. 勘察责任与保险</w:t>
      </w:r>
      <w:bookmarkEnd w:id="177"/>
    </w:p>
    <w:p w14:paraId="119E0D44">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9.1 工作质量责任</w:t>
      </w:r>
    </w:p>
    <w:p w14:paraId="53F5718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9.1.1 勘察工作质量应满足法律规定、规范标准、合同约定和发包人要求等。</w:t>
      </w:r>
    </w:p>
    <w:p w14:paraId="23C6E7C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9.1.2 勘察人应做好勘察服务的质量与技术管理工作，建立健全内部质量管理体系和质量责任制度，加强勘察服务全过程的质量控制，建立完整的勘察文件的</w:t>
      </w:r>
      <w:r>
        <w:rPr>
          <w:rFonts w:hint="eastAsia" w:ascii="宋体" w:hAnsi="宋体" w:eastAsia="宋体" w:cs="宋体"/>
          <w:snapToGrid w:val="0"/>
          <w:color w:val="000000"/>
          <w:kern w:val="0"/>
          <w:highlight w:val="none"/>
        </w:rPr>
        <w:t>设计</w:t>
      </w:r>
      <w:r>
        <w:rPr>
          <w:rFonts w:hint="eastAsia" w:ascii="宋体" w:hAnsi="宋体" w:eastAsia="宋体" w:cs="宋体"/>
          <w:color w:val="000000"/>
          <w:szCs w:val="21"/>
          <w:highlight w:val="none"/>
        </w:rPr>
        <w:t>、复核、审核、会签和批准制度，明确各阶段的责任人。</w:t>
      </w:r>
    </w:p>
    <w:p w14:paraId="049C766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9.1.3 勘察人应当强化现场作业质量和试验工作管理，保证原始记录和试验数据的可靠性、真实性和完整性，严禁离开现场进行追记、补记和修改记录。</w:t>
      </w:r>
    </w:p>
    <w:p w14:paraId="31E4E047">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9.1.4 勘察人应按合同约定对勘察服务进行全过程的质量检查和检验，并作详细记录，编制勘察工作质量报表，报送发包人审查。</w:t>
      </w:r>
    </w:p>
    <w:p w14:paraId="6C4051D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9.1.5 发包人有权对勘察工作质量进行检查和审核。勘察人应为发包人的检查和检验提供方便，包括发包人到勘察场地、试验室或合同约定的其他地方进行察看，查阅、审核勘察的原始记录和其他文件。发包人的检查和审核，不免除勘察人按合同约定应负的责任。</w:t>
      </w:r>
    </w:p>
    <w:p w14:paraId="58C8CA13">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9.2</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勘察文件错误责任</w:t>
      </w:r>
    </w:p>
    <w:p w14:paraId="2130DA2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9.2.1 勘察文件存在错误、遗漏、含混、矛盾、不充分之处或其他缺陷，无论勘察人是否通过了发包人审查或审查机构审查，勘察人均应自费对前述问题带来的缺陷和工程问题进行改正，但因第 1.6.2 项约定由发包人提供的文件错误导致的除外。</w:t>
      </w:r>
    </w:p>
    <w:p w14:paraId="69740E4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9.2.2 因勘察人原因造成勘察文件不合格的，发包人有权要求勘察人采取补救措施，直至达到合同要求的质量标准，并按第 14.1 款的约定承担责任。</w:t>
      </w:r>
    </w:p>
    <w:p w14:paraId="3A92824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9.2.3 因发包人原因造成勘察文件不合格的，勘察人应当采取补救措施，直至达到合同要求的质量标准，由此造成的勘察费用增加和（或）勘察服务期限延误由发包人承担。</w:t>
      </w:r>
    </w:p>
    <w:p w14:paraId="1AB55D3C">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9.3</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勘察责任主体</w:t>
      </w:r>
    </w:p>
    <w:p w14:paraId="2BF55811">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9.3.1 勘察人应运用一切合理的专业技术、知识技能和项目经验，按照职业道德准则和行业公认标准尽其全部职责，勤勉、谨慎、公正地履行其在本合同项下的责任和义务。</w:t>
      </w:r>
    </w:p>
    <w:p w14:paraId="7024241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9.3.2 勘察责任为勘察单位项目负责人终身责任制。项目负责人应当保证勘察文件符合法律法规和工程建设强制性标准的要求，对因勘察导致的工程质量事故或质量问题承担责任。</w:t>
      </w:r>
    </w:p>
    <w:p w14:paraId="6D9CCAA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9.3.3 项目负责人应当在办理工程质量监督手续前签署工程质量终身责任承诺书，连同法定代表人出具的授权书，报工程质量监督机构备案。</w:t>
      </w:r>
    </w:p>
    <w:p w14:paraId="54FCB8C8">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9.4</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勘察责任保险</w:t>
      </w:r>
    </w:p>
    <w:p w14:paraId="52C8309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9.4.1 除专用合同条款另有约定外，勘察人应具有发包人认可的、履行本合同所需要的工程勘察责任险，于合同签订后 28 天内向发包人提交工程勘察责任险的保险单副本或者其他有效证明，并在合同履行期间保持足额、有效。</w:t>
      </w:r>
    </w:p>
    <w:p w14:paraId="732CA46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9.4.2 工程勘察责任险的保险范围，应当包括由于勘察人的疏忽或过失而造成的工程质量事故损失，以及由于事故引发的第三者人身伤亡、财产损失或费用赔偿等。</w:t>
      </w:r>
    </w:p>
    <w:p w14:paraId="5A264A1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9.4.3 发生工程勘察保险事故后，勘察人应按保险人要求进行报告，并负责办理保险理赔业务；保险金不足以补偿损失的，由勘察人自行补偿。</w:t>
      </w:r>
    </w:p>
    <w:p w14:paraId="18BFC7E8">
      <w:pPr>
        <w:pStyle w:val="4"/>
        <w:pageBreakBefore w:val="0"/>
        <w:widowControl w:val="0"/>
        <w:kinsoku/>
        <w:wordWrap/>
        <w:overflowPunct/>
        <w:topLinePunct w:val="0"/>
        <w:autoSpaceDE/>
        <w:autoSpaceDN/>
        <w:bidi w:val="0"/>
        <w:adjustRightInd/>
        <w:snapToGrid/>
        <w:spacing w:before="0" w:after="0" w:line="360" w:lineRule="auto"/>
        <w:ind w:firstLine="137"/>
        <w:textAlignment w:val="auto"/>
        <w:rPr>
          <w:rFonts w:hint="eastAsia" w:ascii="宋体" w:hAnsi="宋体" w:eastAsia="宋体" w:cs="宋体"/>
          <w:color w:val="000000"/>
          <w:highlight w:val="none"/>
        </w:rPr>
      </w:pPr>
      <w:bookmarkStart w:id="178" w:name="_Toc117059903"/>
      <w:r>
        <w:rPr>
          <w:rFonts w:hint="eastAsia" w:ascii="宋体" w:hAnsi="宋体" w:eastAsia="宋体" w:cs="宋体"/>
          <w:color w:val="000000"/>
          <w:highlight w:val="none"/>
        </w:rPr>
        <w:t>10.</w:t>
      </w:r>
      <w:r>
        <w:rPr>
          <w:rFonts w:hint="eastAsia" w:ascii="宋体" w:hAnsi="宋体" w:eastAsia="宋体" w:cs="宋体"/>
          <w:color w:val="000000"/>
          <w:highlight w:val="none"/>
        </w:rPr>
        <w:tab/>
      </w:r>
      <w:r>
        <w:rPr>
          <w:rFonts w:hint="eastAsia" w:ascii="宋体" w:hAnsi="宋体" w:eastAsia="宋体" w:cs="宋体"/>
          <w:snapToGrid w:val="0"/>
          <w:color w:val="000000"/>
          <w:kern w:val="0"/>
          <w:szCs w:val="21"/>
          <w:highlight w:val="none"/>
        </w:rPr>
        <w:t>设计</w:t>
      </w:r>
      <w:r>
        <w:rPr>
          <w:rFonts w:hint="eastAsia" w:ascii="宋体" w:hAnsi="宋体" w:eastAsia="宋体" w:cs="宋体"/>
          <w:color w:val="000000"/>
          <w:highlight w:val="none"/>
        </w:rPr>
        <w:t>和施工期间配合</w:t>
      </w:r>
      <w:bookmarkEnd w:id="178"/>
    </w:p>
    <w:p w14:paraId="6DF811EC">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 xml:space="preserve">10.1 </w:t>
      </w:r>
      <w:r>
        <w:rPr>
          <w:rFonts w:hint="eastAsia" w:ascii="宋体" w:hAnsi="宋体" w:eastAsia="宋体" w:cs="宋体"/>
          <w:snapToGrid w:val="0"/>
          <w:color w:val="000000"/>
          <w:kern w:val="0"/>
          <w:szCs w:val="21"/>
          <w:highlight w:val="none"/>
        </w:rPr>
        <w:t>设计</w:t>
      </w:r>
      <w:r>
        <w:rPr>
          <w:rFonts w:hint="eastAsia" w:ascii="宋体" w:hAnsi="宋体" w:eastAsia="宋体" w:cs="宋体"/>
          <w:color w:val="000000"/>
          <w:highlight w:val="none"/>
        </w:rPr>
        <w:t>期间配合</w:t>
      </w:r>
    </w:p>
    <w:p w14:paraId="5583457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10.1.1 </w:t>
      </w:r>
      <w:r>
        <w:rPr>
          <w:rFonts w:hint="eastAsia" w:ascii="宋体" w:hAnsi="宋体" w:eastAsia="宋体" w:cs="宋体"/>
          <w:bCs/>
          <w:snapToGrid w:val="0"/>
          <w:color w:val="000000"/>
          <w:kern w:val="0"/>
          <w:szCs w:val="21"/>
          <w:highlight w:val="none"/>
        </w:rPr>
        <w:t>设计</w:t>
      </w:r>
      <w:r>
        <w:rPr>
          <w:rFonts w:hint="eastAsia" w:ascii="宋体" w:hAnsi="宋体" w:eastAsia="宋体" w:cs="宋体"/>
          <w:color w:val="000000"/>
          <w:szCs w:val="21"/>
          <w:highlight w:val="none"/>
        </w:rPr>
        <w:t>配合指勘察人配合</w:t>
      </w:r>
      <w:r>
        <w:rPr>
          <w:rFonts w:hint="eastAsia" w:ascii="宋体" w:hAnsi="宋体" w:eastAsia="宋体" w:cs="宋体"/>
          <w:bCs/>
          <w:snapToGrid w:val="0"/>
          <w:color w:val="000000"/>
          <w:kern w:val="0"/>
          <w:szCs w:val="21"/>
          <w:highlight w:val="none"/>
        </w:rPr>
        <w:t>设计</w:t>
      </w:r>
      <w:r>
        <w:rPr>
          <w:rFonts w:hint="eastAsia" w:ascii="宋体" w:hAnsi="宋体" w:eastAsia="宋体" w:cs="宋体"/>
          <w:color w:val="000000"/>
          <w:szCs w:val="21"/>
          <w:highlight w:val="none"/>
        </w:rPr>
        <w:t>人，在</w:t>
      </w:r>
      <w:r>
        <w:rPr>
          <w:rFonts w:hint="eastAsia" w:ascii="宋体" w:hAnsi="宋体" w:eastAsia="宋体" w:cs="宋体"/>
          <w:bCs/>
          <w:snapToGrid w:val="0"/>
          <w:color w:val="000000"/>
          <w:kern w:val="0"/>
          <w:szCs w:val="21"/>
          <w:highlight w:val="none"/>
        </w:rPr>
        <w:t>设计</w:t>
      </w:r>
      <w:r>
        <w:rPr>
          <w:rFonts w:hint="eastAsia" w:ascii="宋体" w:hAnsi="宋体" w:eastAsia="宋体" w:cs="宋体"/>
          <w:color w:val="000000"/>
          <w:szCs w:val="21"/>
          <w:highlight w:val="none"/>
        </w:rPr>
        <w:t>期间对本工程进行的补充勘察或其他配合工作。</w:t>
      </w:r>
    </w:p>
    <w:p w14:paraId="5FCA244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10.1.2 勘察人应当根据</w:t>
      </w:r>
      <w:r>
        <w:rPr>
          <w:rFonts w:hint="eastAsia" w:ascii="宋体" w:hAnsi="宋体" w:eastAsia="宋体" w:cs="宋体"/>
          <w:bCs/>
          <w:snapToGrid w:val="0"/>
          <w:color w:val="000000"/>
          <w:kern w:val="0"/>
          <w:szCs w:val="21"/>
          <w:highlight w:val="none"/>
        </w:rPr>
        <w:t>设计</w:t>
      </w:r>
      <w:r>
        <w:rPr>
          <w:rFonts w:hint="eastAsia" w:ascii="宋体" w:hAnsi="宋体" w:eastAsia="宋体" w:cs="宋体"/>
          <w:color w:val="000000"/>
          <w:szCs w:val="21"/>
          <w:highlight w:val="none"/>
        </w:rPr>
        <w:t>工作需要，对勘察报告和资料文件中的不完善或者错误之处，进行验证、补充或者修改；如遇不利的工程地质条件，勘察人应与</w:t>
      </w:r>
      <w:r>
        <w:rPr>
          <w:rFonts w:hint="eastAsia" w:ascii="宋体" w:hAnsi="宋体" w:eastAsia="宋体" w:cs="宋体"/>
          <w:bCs/>
          <w:snapToGrid w:val="0"/>
          <w:color w:val="000000"/>
          <w:kern w:val="0"/>
          <w:szCs w:val="21"/>
          <w:highlight w:val="none"/>
        </w:rPr>
        <w:t>设计</w:t>
      </w:r>
      <w:r>
        <w:rPr>
          <w:rFonts w:hint="eastAsia" w:ascii="宋体" w:hAnsi="宋体" w:eastAsia="宋体" w:cs="宋体"/>
          <w:color w:val="000000"/>
          <w:szCs w:val="21"/>
          <w:highlight w:val="none"/>
        </w:rPr>
        <w:t>人研讨并提出解决建议。</w:t>
      </w:r>
    </w:p>
    <w:p w14:paraId="47F16819">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10.2 施工期间配合</w:t>
      </w:r>
    </w:p>
    <w:p w14:paraId="6B0A8757">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10.2.1 施工配合指勘察人配合施工承包人，在施工期间对本工程进行的补充勘察或其他配合工作，直至工程通过竣工验收为止。</w:t>
      </w:r>
    </w:p>
    <w:p w14:paraId="64A40E0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10.2.2 除专用合同条款另有约定外，发包人应为勘察人派赴施工现场的工作人员，在施工期间提供办公房间、办公桌椅、互联网接口、冷暖设施、生活设施、进出现场交通服务和其他便利条件。</w:t>
      </w:r>
    </w:p>
    <w:p w14:paraId="2D9E499F">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10.2.3 勘察人应在本工程的施工期间，积极提供勘察配合服务，进行勘察技术交底，委派专业人员配合施工承包人及时解决与勘察有关的问题，参与基坑基底验收和工程竣工验收等工作。</w:t>
      </w:r>
    </w:p>
    <w:p w14:paraId="79D26E6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10.2.4 发包人应当组织勘察技术交底会，由勘察人向发包人、监理人和施工承包人等进行勘察交底，对本工程的勘察意图、勘察文件和施工要求等进行系统地说明和解释。</w:t>
      </w:r>
    </w:p>
    <w:p w14:paraId="27BC8B81">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10.2.5 工程施工完毕后，发包人应当组织投产试车（试运行）和工程竣工验收，勘察人参加验收并出具本单位的验收结论。</w:t>
      </w:r>
    </w:p>
    <w:p w14:paraId="227CAF3E">
      <w:pPr>
        <w:pStyle w:val="4"/>
        <w:pageBreakBefore w:val="0"/>
        <w:widowControl w:val="0"/>
        <w:kinsoku/>
        <w:wordWrap/>
        <w:overflowPunct/>
        <w:topLinePunct w:val="0"/>
        <w:autoSpaceDE/>
        <w:autoSpaceDN/>
        <w:bidi w:val="0"/>
        <w:adjustRightInd/>
        <w:snapToGrid/>
        <w:spacing w:before="0" w:after="0" w:line="360" w:lineRule="auto"/>
        <w:ind w:firstLine="137"/>
        <w:textAlignment w:val="auto"/>
        <w:rPr>
          <w:rFonts w:hint="eastAsia" w:ascii="宋体" w:hAnsi="宋体" w:eastAsia="宋体" w:cs="宋体"/>
          <w:color w:val="000000"/>
          <w:highlight w:val="none"/>
        </w:rPr>
      </w:pPr>
      <w:bookmarkStart w:id="179" w:name="_Toc117059904"/>
      <w:r>
        <w:rPr>
          <w:rFonts w:hint="eastAsia" w:ascii="宋体" w:hAnsi="宋体" w:eastAsia="宋体" w:cs="宋体"/>
          <w:color w:val="000000"/>
          <w:highlight w:val="none"/>
        </w:rPr>
        <w:t>11.</w:t>
      </w:r>
      <w:r>
        <w:rPr>
          <w:rFonts w:hint="eastAsia" w:ascii="宋体" w:hAnsi="宋体" w:eastAsia="宋体" w:cs="宋体"/>
          <w:color w:val="000000"/>
          <w:highlight w:val="none"/>
        </w:rPr>
        <w:tab/>
      </w:r>
      <w:r>
        <w:rPr>
          <w:rFonts w:hint="eastAsia" w:ascii="宋体" w:hAnsi="宋体" w:eastAsia="宋体" w:cs="宋体"/>
          <w:color w:val="000000"/>
          <w:highlight w:val="none"/>
        </w:rPr>
        <w:t>合同变更</w:t>
      </w:r>
      <w:bookmarkEnd w:id="179"/>
    </w:p>
    <w:p w14:paraId="36598765">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11.1 变更情形</w:t>
      </w:r>
    </w:p>
    <w:p w14:paraId="0017A02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11.1.1</w:t>
      </w:r>
      <w:r>
        <w:rPr>
          <w:rFonts w:hint="eastAsia" w:ascii="宋体" w:hAnsi="宋体" w:eastAsia="宋体" w:cs="宋体"/>
          <w:color w:val="000000"/>
          <w:szCs w:val="21"/>
          <w:highlight w:val="none"/>
        </w:rPr>
        <w:tab/>
      </w:r>
      <w:r>
        <w:rPr>
          <w:rFonts w:hint="eastAsia" w:ascii="宋体" w:hAnsi="宋体" w:eastAsia="宋体" w:cs="宋体"/>
          <w:color w:val="000000"/>
          <w:szCs w:val="21"/>
          <w:highlight w:val="none"/>
        </w:rPr>
        <w:t>合同履行中发生下述情形时，合同一方均可向对方提出变更请求，经双方协商一致后进行变更，勘察服务期限和勘察费用的调整方法在专用合同条款中约定。</w:t>
      </w:r>
    </w:p>
    <w:p w14:paraId="255C006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（1）勘察范围发生变化；</w:t>
      </w:r>
    </w:p>
    <w:p w14:paraId="7749D37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（2）除不可抗力外，非勘察人的原因引起的周期延误；</w:t>
      </w:r>
    </w:p>
    <w:p w14:paraId="29A0B70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（3）非勘察人的原因，对工程同一部分重复进行勘察；</w:t>
      </w:r>
    </w:p>
    <w:p w14:paraId="3C1D3E68">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（4）非勘察人的原因，对工程暂停勘察及恢复勘察。</w:t>
      </w:r>
    </w:p>
    <w:p w14:paraId="3A12B68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11.1.2</w:t>
      </w:r>
      <w:r>
        <w:rPr>
          <w:rFonts w:hint="eastAsia" w:ascii="宋体" w:hAnsi="宋体" w:eastAsia="宋体" w:cs="宋体"/>
          <w:color w:val="000000"/>
          <w:szCs w:val="21"/>
          <w:highlight w:val="none"/>
        </w:rPr>
        <w:tab/>
      </w:r>
      <w:r>
        <w:rPr>
          <w:rFonts w:hint="eastAsia" w:ascii="宋体" w:hAnsi="宋体" w:eastAsia="宋体" w:cs="宋体"/>
          <w:color w:val="000000"/>
          <w:szCs w:val="21"/>
          <w:highlight w:val="none"/>
        </w:rPr>
        <w:t>基准日后，因颁布新的或修订原有法律、法规、规范和标准等引发合同变更情形的，按照上述约定进行调整。</w:t>
      </w:r>
    </w:p>
    <w:p w14:paraId="048DCA43">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11.2 合理化建议</w:t>
      </w:r>
    </w:p>
    <w:p w14:paraId="614B5E9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11.2.1 合同履行中，勘察人可对发包人要求提出合理化建议。合理化建议应以书面形式提交发包人，被发包人采纳并构成变更的，执行第 11.1 款约定。</w:t>
      </w:r>
    </w:p>
    <w:p w14:paraId="65E8836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11.2.2 勘察人提出的合理化建议降低了工程投资、缩短了施工期限或者提高了工程经济效益的，发包人应按专用合同条款中的约定给予奖励。</w:t>
      </w:r>
    </w:p>
    <w:p w14:paraId="0781E2AC">
      <w:pPr>
        <w:pStyle w:val="4"/>
        <w:pageBreakBefore w:val="0"/>
        <w:widowControl w:val="0"/>
        <w:kinsoku/>
        <w:wordWrap/>
        <w:overflowPunct/>
        <w:topLinePunct w:val="0"/>
        <w:autoSpaceDE/>
        <w:autoSpaceDN/>
        <w:bidi w:val="0"/>
        <w:adjustRightInd/>
        <w:snapToGrid/>
        <w:spacing w:before="0" w:after="0" w:line="360" w:lineRule="auto"/>
        <w:ind w:firstLine="137"/>
        <w:textAlignment w:val="auto"/>
        <w:rPr>
          <w:rFonts w:hint="eastAsia" w:ascii="宋体" w:hAnsi="宋体" w:eastAsia="宋体" w:cs="宋体"/>
          <w:color w:val="000000"/>
          <w:highlight w:val="none"/>
        </w:rPr>
      </w:pPr>
      <w:bookmarkStart w:id="180" w:name="_Toc117059905"/>
      <w:r>
        <w:rPr>
          <w:rFonts w:hint="eastAsia" w:ascii="宋体" w:hAnsi="宋体" w:eastAsia="宋体" w:cs="宋体"/>
          <w:color w:val="000000"/>
          <w:highlight w:val="none"/>
        </w:rPr>
        <w:t>12.</w:t>
      </w:r>
      <w:r>
        <w:rPr>
          <w:rFonts w:hint="eastAsia" w:ascii="宋体" w:hAnsi="宋体" w:eastAsia="宋体" w:cs="宋体"/>
          <w:color w:val="000000"/>
          <w:highlight w:val="none"/>
        </w:rPr>
        <w:tab/>
      </w:r>
      <w:r>
        <w:rPr>
          <w:rFonts w:hint="eastAsia" w:ascii="宋体" w:hAnsi="宋体" w:eastAsia="宋体" w:cs="宋体"/>
          <w:color w:val="000000"/>
          <w:highlight w:val="none"/>
        </w:rPr>
        <w:t>合同价格与支付</w:t>
      </w:r>
      <w:bookmarkEnd w:id="180"/>
    </w:p>
    <w:p w14:paraId="6CA00AA4">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12.1 合同价格</w:t>
      </w:r>
    </w:p>
    <w:p w14:paraId="1956E68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12.1.1 本合同的价款确定方式、调整方式和风险范围划分，在专用合同条款中约定。</w:t>
      </w:r>
    </w:p>
    <w:p w14:paraId="163B45D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12.1.2 勘察费用实行发包人签证制度，即勘察人完成勘察项目后通知发包人进行验收，通过验收后由发包人代表对实施的勘察项目、数量、质量和实施时间签字确认，以此作为计算勘察费用的依据之一。</w:t>
      </w:r>
    </w:p>
    <w:p w14:paraId="164DA1D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12.1.3 除专用合同条款另有约定外，合同价格应当包括收集资料，踏勘现场，制订纲要，进行测绘、勘探、取样、试验、测试、分析、评估、配合审查等，编制勘察文件，</w:t>
      </w:r>
      <w:r>
        <w:rPr>
          <w:rFonts w:hint="eastAsia" w:ascii="宋体" w:hAnsi="宋体" w:eastAsia="宋体" w:cs="宋体"/>
          <w:bCs/>
          <w:snapToGrid w:val="0"/>
          <w:color w:val="000000"/>
          <w:kern w:val="0"/>
          <w:szCs w:val="21"/>
          <w:highlight w:val="none"/>
        </w:rPr>
        <w:t>设计</w:t>
      </w:r>
      <w:r>
        <w:rPr>
          <w:rFonts w:hint="eastAsia" w:ascii="宋体" w:hAnsi="宋体" w:eastAsia="宋体" w:cs="宋体"/>
          <w:color w:val="000000"/>
          <w:szCs w:val="21"/>
          <w:highlight w:val="none"/>
        </w:rPr>
        <w:t>施工配合，青苗和园林绿化补偿，占地补偿，扰民及民扰，占道施工，安全防护、文明施工、环境保护，农民工工伤保险等全部费用和国家规定的增值税税金。</w:t>
      </w:r>
    </w:p>
    <w:p w14:paraId="4EF2824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12.1.4 发包人要求勘察人进行外出考察、试验检测、专项咨询或专家评审时，相应费用不含在合同价格之中，由发包人另行支付。</w:t>
      </w:r>
    </w:p>
    <w:p w14:paraId="7951F4B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12.2 定金或预付款</w:t>
      </w:r>
    </w:p>
    <w:p w14:paraId="5FA46507">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12.2.1 定金或预付款应专用于本工程的勘察。定金或预付款的额度、支付方式及抵扣方式在专用合同条款中约定。</w:t>
      </w:r>
    </w:p>
    <w:p w14:paraId="66EC4A4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12.2.2 发包人应在收到定金或预付款支付申请后 28 天内，将定金或预付款支付给勘察人；勘察人应当提供等额的增值税发票。</w:t>
      </w:r>
    </w:p>
    <w:p w14:paraId="39FEBD9F">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12.2.3 勘察服务完成之前，由于不可抗力或其他非勘察人的原因解除合同时，定金不予退还。</w:t>
      </w:r>
    </w:p>
    <w:p w14:paraId="6A6FDF24">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12.3 中期支付</w:t>
      </w:r>
    </w:p>
    <w:p w14:paraId="20CA8E6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12.3.1 勘察人应按发包人批准或专用合同条款约定的格式及份数，向发包人提交中期支付申请，并附相应的支持性证明文件。</w:t>
      </w:r>
    </w:p>
    <w:p w14:paraId="1B98728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12.3.2 发包人应在收到中期支付申请后的 28 天内，将应付款项支付给勘察人；勘察人应当提供等额的增值税发票。发包人未能在前述时间内完成审批或不予答复的，视为发包人同意中期支付申请。发包人不按期支付的，按专用合同条款的约定支付逾期付款违约金。</w:t>
      </w:r>
    </w:p>
    <w:p w14:paraId="249B457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12.3.3 中期支付涉及政府投资资金的，按照国库集中支付等国家相关规定和专用合同条款的约定执行。</w:t>
      </w:r>
    </w:p>
    <w:p w14:paraId="2FA57EF1">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12.4 费用结算</w:t>
      </w:r>
    </w:p>
    <w:p w14:paraId="45ED084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12.4.1 合同工作完成后，勘察人可按专用合同条款约定的份数和期限，向发包人提交勘察费用结算申请，并提供相关证明材料。</w:t>
      </w:r>
    </w:p>
    <w:p w14:paraId="21B2CD01">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12.4.2 发包人应在收到费用结算申请后的 28 天内，将应付款项支付给勘察人；勘察人应当提供等额的增值税发票。发包人未能在前述时间内完成审批或不予答复的，视为发包人同意费用结算申请。发包人不按期支付的，按专用合同条款的约定支付逾期付款违约金。</w:t>
      </w:r>
    </w:p>
    <w:p w14:paraId="6BD63103">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12.4.3 发包人对费用结算申请内容有异议的，有权要求勘察人进行修正和提供补充资料，由勘察人重新提交。勘察人对此有异议的，按第 15 条的约定执行。</w:t>
      </w:r>
    </w:p>
    <w:p w14:paraId="370A6F6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12.4.4 最终结清付款涉及政府投资资金的，按第 12.3.3 项的约定执行。</w:t>
      </w:r>
    </w:p>
    <w:p w14:paraId="17B9E1DC">
      <w:pPr>
        <w:pStyle w:val="4"/>
        <w:pageBreakBefore w:val="0"/>
        <w:widowControl w:val="0"/>
        <w:kinsoku/>
        <w:wordWrap/>
        <w:overflowPunct/>
        <w:topLinePunct w:val="0"/>
        <w:autoSpaceDE/>
        <w:autoSpaceDN/>
        <w:bidi w:val="0"/>
        <w:adjustRightInd/>
        <w:snapToGrid/>
        <w:spacing w:before="0" w:after="0" w:line="360" w:lineRule="auto"/>
        <w:ind w:firstLine="137"/>
        <w:textAlignment w:val="auto"/>
        <w:rPr>
          <w:rFonts w:hint="eastAsia" w:ascii="宋体" w:hAnsi="宋体" w:eastAsia="宋体" w:cs="宋体"/>
          <w:color w:val="000000"/>
          <w:highlight w:val="none"/>
        </w:rPr>
      </w:pPr>
      <w:bookmarkStart w:id="181" w:name="_Toc117059906"/>
      <w:r>
        <w:rPr>
          <w:rFonts w:hint="eastAsia" w:ascii="宋体" w:hAnsi="宋体" w:eastAsia="宋体" w:cs="宋体"/>
          <w:color w:val="000000"/>
          <w:highlight w:val="none"/>
        </w:rPr>
        <w:t>13.</w:t>
      </w:r>
      <w:r>
        <w:rPr>
          <w:rFonts w:hint="eastAsia" w:ascii="宋体" w:hAnsi="宋体" w:eastAsia="宋体" w:cs="宋体"/>
          <w:color w:val="000000"/>
          <w:highlight w:val="none"/>
        </w:rPr>
        <w:tab/>
      </w:r>
      <w:r>
        <w:rPr>
          <w:rFonts w:hint="eastAsia" w:ascii="宋体" w:hAnsi="宋体" w:eastAsia="宋体" w:cs="宋体"/>
          <w:color w:val="000000"/>
          <w:highlight w:val="none"/>
        </w:rPr>
        <w:t>不可抗力</w:t>
      </w:r>
      <w:bookmarkEnd w:id="181"/>
    </w:p>
    <w:p w14:paraId="11ED2332">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13.1 不可抗力的确认</w:t>
      </w:r>
    </w:p>
    <w:p w14:paraId="2D6AA702">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13.1.1 不可抗力是指勘察人和发包人在订立合同时不可预见，在履行合同过程中不可避免发生并不能克服的自然灾害和社会性突发事件，如地震、海啸、瘟疫、水灾、骚乱、暴动、战争和专用合同条款约定的其他情形。</w:t>
      </w:r>
    </w:p>
    <w:p w14:paraId="5D4DBD8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13.1.2 不可抗力发生后，发包人和勘察人应及时认真统计所造成的损失，收集不可抗力造成损失的证据。合同双方对是否属于不可抗力或其损失的意见不一致的，由合同双方协商确定。</w:t>
      </w:r>
    </w:p>
    <w:p w14:paraId="0405FAF0">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13.2 不可抗力的通知</w:t>
      </w:r>
    </w:p>
    <w:p w14:paraId="2DBE75D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13.2.1</w:t>
      </w:r>
      <w:r>
        <w:rPr>
          <w:rFonts w:hint="eastAsia" w:ascii="宋体" w:hAnsi="宋体" w:eastAsia="宋体" w:cs="宋体"/>
          <w:color w:val="000000"/>
          <w:szCs w:val="21"/>
          <w:highlight w:val="none"/>
        </w:rPr>
        <w:tab/>
      </w:r>
      <w:r>
        <w:rPr>
          <w:rFonts w:hint="eastAsia" w:ascii="宋体" w:hAnsi="宋体" w:eastAsia="宋体" w:cs="宋体"/>
          <w:color w:val="000000"/>
          <w:szCs w:val="21"/>
          <w:highlight w:val="none"/>
        </w:rPr>
        <w:t>合同一方当事人遇到不可抗力事件，使其履行合同义务受到阻碍时，应立即通知合同另一方当事人，书面说明不可抗力和受阻碍的详细情况，并提供必要的证明。</w:t>
      </w:r>
    </w:p>
    <w:p w14:paraId="56CCED4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13.2.2</w:t>
      </w:r>
      <w:r>
        <w:rPr>
          <w:rFonts w:hint="eastAsia" w:ascii="宋体" w:hAnsi="宋体" w:eastAsia="宋体" w:cs="宋体"/>
          <w:color w:val="000000"/>
          <w:szCs w:val="21"/>
          <w:highlight w:val="none"/>
        </w:rPr>
        <w:tab/>
      </w:r>
      <w:r>
        <w:rPr>
          <w:rFonts w:hint="eastAsia" w:ascii="宋体" w:hAnsi="宋体" w:eastAsia="宋体" w:cs="宋体"/>
          <w:color w:val="000000"/>
          <w:szCs w:val="21"/>
          <w:highlight w:val="none"/>
        </w:rPr>
        <w:t>如不可抗力持续发生，合同一方当事人应及时向合同另一方当事人提交中间报告，说明不可抗力和履行合同受阻的情况，并于不可抗力事件结束后 28 天内提交最终报告及有关资料。</w:t>
      </w:r>
    </w:p>
    <w:p w14:paraId="5CD8DDB5">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13.3 不可抗力后果及其处理</w:t>
      </w:r>
    </w:p>
    <w:p w14:paraId="62106FB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13.3.1 不可抗力引起的后果及其损失，应由合同当事人依据法律规定各自承担。不可抗力发生前已完成的勘察工作，应当按照合同约定进行支付。</w:t>
      </w:r>
    </w:p>
    <w:p w14:paraId="3016302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13.3.2 不可抗力发生后，合同当事人应当采取有效措施避免损失进一步扩大，如未采取有效措施致使损失扩大的，应当自行承担扩大部分的损失。</w:t>
      </w:r>
    </w:p>
    <w:p w14:paraId="318FB7FC">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13.3.3 因一方当事人迟延履行合同义务，致使迟延履行期间遭遇不可抗力的，应由该当事人承担全部损失。</w:t>
      </w:r>
    </w:p>
    <w:p w14:paraId="28A81816">
      <w:pPr>
        <w:pStyle w:val="4"/>
        <w:pageBreakBefore w:val="0"/>
        <w:widowControl w:val="0"/>
        <w:kinsoku/>
        <w:wordWrap/>
        <w:overflowPunct/>
        <w:topLinePunct w:val="0"/>
        <w:autoSpaceDE/>
        <w:autoSpaceDN/>
        <w:bidi w:val="0"/>
        <w:adjustRightInd/>
        <w:snapToGrid/>
        <w:spacing w:before="0" w:after="0" w:line="360" w:lineRule="auto"/>
        <w:ind w:firstLine="137"/>
        <w:textAlignment w:val="auto"/>
        <w:rPr>
          <w:rFonts w:hint="eastAsia" w:ascii="宋体" w:hAnsi="宋体" w:eastAsia="宋体" w:cs="宋体"/>
          <w:color w:val="000000"/>
          <w:highlight w:val="none"/>
        </w:rPr>
      </w:pPr>
      <w:bookmarkStart w:id="182" w:name="_Toc117059907"/>
      <w:r>
        <w:rPr>
          <w:rFonts w:hint="eastAsia" w:ascii="宋体" w:hAnsi="宋体" w:eastAsia="宋体" w:cs="宋体"/>
          <w:color w:val="000000"/>
          <w:highlight w:val="none"/>
        </w:rPr>
        <w:t>14.</w:t>
      </w:r>
      <w:r>
        <w:rPr>
          <w:rFonts w:hint="eastAsia" w:ascii="宋体" w:hAnsi="宋体" w:eastAsia="宋体" w:cs="宋体"/>
          <w:color w:val="000000"/>
          <w:highlight w:val="none"/>
        </w:rPr>
        <w:tab/>
      </w:r>
      <w:r>
        <w:rPr>
          <w:rFonts w:hint="eastAsia" w:ascii="宋体" w:hAnsi="宋体" w:eastAsia="宋体" w:cs="宋体"/>
          <w:color w:val="000000"/>
          <w:highlight w:val="none"/>
        </w:rPr>
        <w:t>违约</w:t>
      </w:r>
      <w:bookmarkEnd w:id="182"/>
    </w:p>
    <w:p w14:paraId="4A92609D">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14.1 勘察人违约</w:t>
      </w:r>
    </w:p>
    <w:p w14:paraId="628BA167">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14.1.1 合同履行中发生下列情况之一的，属勘察人违约：</w:t>
      </w:r>
    </w:p>
    <w:p w14:paraId="0792839F">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（1）勘察文件不符合法律以及合同约定；</w:t>
      </w:r>
    </w:p>
    <w:p w14:paraId="4E857117">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（2）勘察人转包、违法分包或者未经发包人同意擅自分包；</w:t>
      </w:r>
    </w:p>
    <w:p w14:paraId="065B3525">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（3）勘察人未按合同计划完成勘察，从而造成工程损失；</w:t>
      </w:r>
    </w:p>
    <w:p w14:paraId="32B2F77E">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（4）勘察人无法履行或停止履行合同；</w:t>
      </w:r>
    </w:p>
    <w:p w14:paraId="39061E3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（5）勘察人不履行合同约定的其他义务。</w:t>
      </w:r>
    </w:p>
    <w:p w14:paraId="1DA7859B">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14.1.2 勘察人发生违约情况时，发包人可向勘察人发出整改通知，要求其在限定期限内纠正；逾期仍不纠正的，发包人有权解除合同并向勘察人发出解除合同通知。勘察人应当承担由于违约所造成的费用增加、周期延误和发包人损失等。</w:t>
      </w:r>
    </w:p>
    <w:p w14:paraId="66BA63D8">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14.2 发包人违约</w:t>
      </w:r>
    </w:p>
    <w:p w14:paraId="7E018F27">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14.2.1</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合同履行中发生下列情况之一的，属发包人违约：</w:t>
      </w:r>
    </w:p>
    <w:p w14:paraId="0EB7069A">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（1）发包人未按合同约定支付勘察费用；</w:t>
      </w:r>
    </w:p>
    <w:p w14:paraId="20CCBE7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（2）发包人原因造成勘察停止；</w:t>
      </w:r>
    </w:p>
    <w:p w14:paraId="032B7487">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（3）发包人无法履行或停止履行合同；</w:t>
      </w:r>
    </w:p>
    <w:p w14:paraId="319FEEF9">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（4）发包人不履行合同约定的其他义务。</w:t>
      </w:r>
    </w:p>
    <w:p w14:paraId="2963BEC0">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14.2.2 发包人发生违约情况时，勘察人可向发包人发出暂停勘察通知，要求其在限定期限内纠正；逾期仍不纠正的，勘察人有权解除合同并向发包人发出解除合同通知。发包人应当承担由于违约所造成的费用增加、周期延误和勘察人损失等。</w:t>
      </w:r>
    </w:p>
    <w:p w14:paraId="7E7D32C5">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14.3 第三人造成的违约</w:t>
      </w:r>
    </w:p>
    <w:p w14:paraId="54235A34">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在履行合同过程中，一方当事人因第三人的原因造成违约的，应当向对方当事人承担违约责任。一方当事人和第三人之间的纠纷，依照法律规定或者按照约定解决。</w:t>
      </w:r>
    </w:p>
    <w:p w14:paraId="37CCB2E1">
      <w:pPr>
        <w:pStyle w:val="4"/>
        <w:pageBreakBefore w:val="0"/>
        <w:widowControl w:val="0"/>
        <w:kinsoku/>
        <w:wordWrap/>
        <w:overflowPunct/>
        <w:topLinePunct w:val="0"/>
        <w:autoSpaceDE/>
        <w:autoSpaceDN/>
        <w:bidi w:val="0"/>
        <w:adjustRightInd/>
        <w:snapToGrid/>
        <w:spacing w:before="0" w:after="0" w:line="360" w:lineRule="auto"/>
        <w:ind w:firstLine="137"/>
        <w:textAlignment w:val="auto"/>
        <w:rPr>
          <w:rFonts w:hint="eastAsia" w:ascii="宋体" w:hAnsi="宋体" w:eastAsia="宋体" w:cs="宋体"/>
          <w:color w:val="000000"/>
          <w:highlight w:val="none"/>
        </w:rPr>
      </w:pPr>
      <w:bookmarkStart w:id="183" w:name="_Toc117059908"/>
      <w:r>
        <w:rPr>
          <w:rFonts w:hint="eastAsia" w:ascii="宋体" w:hAnsi="宋体" w:eastAsia="宋体" w:cs="宋体"/>
          <w:color w:val="000000"/>
          <w:highlight w:val="none"/>
        </w:rPr>
        <w:t>15. 争议的解决</w:t>
      </w:r>
      <w:bookmarkEnd w:id="183"/>
    </w:p>
    <w:p w14:paraId="61225977">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发包人和勘察人在履行合同中发生争议的，可以友好协商解决。合同当事人友好协商解决不成的，可在专用合同条款中约定下列一种方式解决：</w:t>
      </w:r>
    </w:p>
    <w:p w14:paraId="3D07B636">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（1）向约定的仲裁委员会申请仲裁；</w:t>
      </w:r>
    </w:p>
    <w:p w14:paraId="0A6AEE4D">
      <w:pPr>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（2）向有管辖权的人民法院提起诉讼。</w:t>
      </w:r>
    </w:p>
    <w:p w14:paraId="4AB2FE3B">
      <w:pPr>
        <w:pStyle w:val="112"/>
        <w:bidi w:val="0"/>
        <w:jc w:val="center"/>
        <w:rPr>
          <w:rFonts w:hint="eastAsia" w:ascii="宋体" w:hAnsi="宋体" w:eastAsia="宋体" w:cs="宋体"/>
          <w:color w:val="000000"/>
          <w:highlight w:val="none"/>
        </w:rPr>
      </w:pPr>
      <w:r>
        <w:rPr>
          <w:rFonts w:hint="eastAsia" w:ascii="宋体" w:hAnsi="宋体" w:eastAsia="宋体" w:cs="宋体"/>
          <w:snapToGrid w:val="0"/>
          <w:color w:val="000000"/>
          <w:kern w:val="0"/>
          <w:highlight w:val="none"/>
        </w:rPr>
        <w:br w:type="page"/>
      </w:r>
      <w:r>
        <w:rPr>
          <w:rFonts w:hint="eastAsia" w:ascii="宋体" w:hAnsi="宋体" w:eastAsia="宋体" w:cs="宋体"/>
          <w:b/>
          <w:color w:val="000000"/>
          <w:sz w:val="32"/>
          <w:szCs w:val="20"/>
          <w:highlight w:val="none"/>
        </w:rPr>
        <w:t>第三节</w:t>
      </w:r>
      <w:r>
        <w:rPr>
          <w:rFonts w:hint="eastAsia" w:ascii="宋体" w:hAnsi="宋体" w:eastAsia="宋体" w:cs="宋体"/>
          <w:b/>
          <w:color w:val="000000"/>
          <w:sz w:val="32"/>
          <w:szCs w:val="20"/>
          <w:highlight w:val="none"/>
          <w:lang w:val="en-US" w:eastAsia="zh-CN"/>
        </w:rPr>
        <w:t xml:space="preserve"> </w:t>
      </w:r>
      <w:r>
        <w:rPr>
          <w:rFonts w:hint="eastAsia" w:ascii="宋体" w:hAnsi="宋体" w:eastAsia="宋体" w:cs="宋体"/>
          <w:b/>
          <w:color w:val="000000"/>
          <w:sz w:val="32"/>
          <w:szCs w:val="20"/>
          <w:highlight w:val="none"/>
        </w:rPr>
        <w:t>专用合同条款</w:t>
      </w:r>
      <w:bookmarkEnd w:id="7"/>
    </w:p>
    <w:p w14:paraId="3596B880">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发包人：中国药科大学</w:t>
      </w:r>
    </w:p>
    <w:p w14:paraId="7818D4B9">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勘察人：</w:t>
      </w:r>
      <w:r>
        <w:rPr>
          <w:rFonts w:hint="eastAsia" w:ascii="宋体" w:hAnsi="宋体" w:cs="宋体"/>
          <w:color w:val="000000"/>
          <w:sz w:val="21"/>
          <w:szCs w:val="21"/>
          <w:highlight w:val="none"/>
          <w:lang w:val="en-US" w:eastAsia="zh-CN"/>
        </w:rPr>
        <w:t xml:space="preserve">     </w:t>
      </w:r>
    </w:p>
    <w:p w14:paraId="0F7C794A">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根据《中华人民共和国</w:t>
      </w:r>
      <w:r>
        <w:rPr>
          <w:rFonts w:hint="eastAsia" w:ascii="宋体" w:hAnsi="宋体" w:eastAsia="宋体" w:cs="宋体"/>
          <w:color w:val="000000"/>
          <w:sz w:val="21"/>
          <w:szCs w:val="21"/>
          <w:highlight w:val="none"/>
          <w:lang w:val="en-US" w:eastAsia="zh-CN"/>
        </w:rPr>
        <w:t>民法典</w:t>
      </w:r>
      <w:r>
        <w:rPr>
          <w:rFonts w:hint="eastAsia" w:ascii="宋体" w:hAnsi="宋体" w:eastAsia="宋体" w:cs="宋体"/>
          <w:color w:val="000000"/>
          <w:sz w:val="21"/>
          <w:szCs w:val="21"/>
          <w:highlight w:val="none"/>
        </w:rPr>
        <w:t>》、《建设工程勘察设计合同条例》和有关法律法规，经双方协商致签订本合同、法规，经双方协商一致签订本合同。</w:t>
      </w:r>
    </w:p>
    <w:p w14:paraId="061FC01A">
      <w:pPr>
        <w:pStyle w:val="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第一条：</w:t>
      </w:r>
      <w:r>
        <w:rPr>
          <w:rFonts w:hint="eastAsia" w:ascii="宋体" w:hAnsi="宋体" w:eastAsia="宋体" w:cs="宋体"/>
          <w:b/>
          <w:color w:val="000000"/>
          <w:sz w:val="21"/>
          <w:szCs w:val="21"/>
          <w:highlight w:val="none"/>
          <w:lang w:val="en-US" w:eastAsia="zh-CN"/>
        </w:rPr>
        <w:t>勘测</w:t>
      </w:r>
      <w:r>
        <w:rPr>
          <w:rFonts w:hint="eastAsia" w:ascii="宋体" w:hAnsi="宋体" w:eastAsia="宋体" w:cs="宋体"/>
          <w:b/>
          <w:color w:val="000000"/>
          <w:sz w:val="21"/>
          <w:szCs w:val="21"/>
          <w:highlight w:val="none"/>
        </w:rPr>
        <w:t>范围</w:t>
      </w:r>
    </w:p>
    <w:bookmarkEnd w:id="8"/>
    <w:bookmarkEnd w:id="9"/>
    <w:bookmarkEnd w:id="10"/>
    <w:bookmarkEnd w:id="11"/>
    <w:p w14:paraId="368A06BD">
      <w:pPr>
        <w:pStyle w:val="11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lang w:val="en-US" w:eastAsia="zh-CN"/>
        </w:rPr>
        <w:t>测绘：项目位于中国药科大学江宁校区校园内部，是中国药科大学江宁校区校园水系的重要部分，共计面积11.05公顷，其中北侧药用植物园水体1.59公顷，明湖面积约5.52公顷，镜湖面积约3.30公顷，南侧水塘约0.64公顷。</w:t>
      </w:r>
    </w:p>
    <w:p w14:paraId="65A88708">
      <w:pPr>
        <w:pStyle w:val="11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lang w:val="en-US" w:eastAsia="zh-CN"/>
        </w:rPr>
        <w:t>勘察：本项目拟建一体化泵站一座（配套取水口、进水闸门井、出水阀门井各一座）、出水涵闸一座、出水口两座、排口湿地3座、埋地管线1590m。</w:t>
      </w:r>
    </w:p>
    <w:p w14:paraId="0C6F1BD3">
      <w:pPr>
        <w:pStyle w:val="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第二条：勘</w:t>
      </w:r>
      <w:r>
        <w:rPr>
          <w:rFonts w:hint="eastAsia" w:ascii="宋体" w:hAnsi="宋体" w:eastAsia="宋体" w:cs="宋体"/>
          <w:b/>
          <w:color w:val="000000"/>
          <w:sz w:val="21"/>
          <w:szCs w:val="21"/>
          <w:highlight w:val="none"/>
          <w:lang w:val="en-US" w:eastAsia="zh-CN"/>
        </w:rPr>
        <w:t>测</w:t>
      </w:r>
      <w:r>
        <w:rPr>
          <w:rFonts w:hint="eastAsia" w:ascii="宋体" w:hAnsi="宋体" w:eastAsia="宋体" w:cs="宋体"/>
          <w:b/>
          <w:color w:val="000000"/>
          <w:sz w:val="21"/>
          <w:szCs w:val="21"/>
          <w:highlight w:val="none"/>
        </w:rPr>
        <w:t>内容</w:t>
      </w:r>
    </w:p>
    <w:p w14:paraId="41DC3F67">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a.测绘内容</w:t>
      </w:r>
    </w:p>
    <w:p w14:paraId="38682C2D">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（1）湖泊区域</w:t>
      </w:r>
    </w:p>
    <w:p w14:paraId="3C71DAF5">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测绘范围内所有岸坡上构筑物、建筑物、湖泊、道路、植物等，需重点测绘范围内湖泊的塘梗、湖泊等高程、淤泥厚度、水面高程等。</w:t>
      </w:r>
    </w:p>
    <w:p w14:paraId="3EC61EC6">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湖泊的水下地形；</w:t>
      </w:r>
    </w:p>
    <w:p w14:paraId="609C983A">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湖泊的进出水口位置及高程；</w:t>
      </w:r>
    </w:p>
    <w:p w14:paraId="2111A817">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范围内所有道路高程；</w:t>
      </w:r>
    </w:p>
    <w:p w14:paraId="1A2A6D67">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测绘范围内排污口、雨水口及高程；</w:t>
      </w:r>
    </w:p>
    <w:p w14:paraId="6F638DE3">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（2）雨水排口</w:t>
      </w:r>
    </w:p>
    <w:p w14:paraId="45B1A090">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雨水排口处加密测量，包括但不限于排口底高程、管径，排口附近的高程等。</w:t>
      </w:r>
    </w:p>
    <w:p w14:paraId="791A4952">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（3）输水管线</w:t>
      </w:r>
    </w:p>
    <w:p w14:paraId="221241C6">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拟建输水管线沿线5m范围现状地下管线走向、埋深、检查井位置等。</w:t>
      </w:r>
    </w:p>
    <w:p w14:paraId="42186C06">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（4）测绘精度</w:t>
      </w:r>
    </w:p>
    <w:p w14:paraId="34DCAC69">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测绘精度要求1:500地形图</w:t>
      </w:r>
    </w:p>
    <w:p w14:paraId="283D7E99">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b.勘察要求</w:t>
      </w:r>
    </w:p>
    <w:p w14:paraId="6CCDB82A">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（1）查明场区内工程地质条件及各土层的物理力学性质指标；</w:t>
      </w:r>
    </w:p>
    <w:p w14:paraId="74162773">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（2）查明场区内的水文地质条件及各土层的渗透系数Ｋ；</w:t>
      </w:r>
    </w:p>
    <w:p w14:paraId="3C5C6A1B">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（3）查明工程场地下水的类型、埋藏条件及水质情况，以及地下水（含承压水）补给关系；</w:t>
      </w:r>
    </w:p>
    <w:p w14:paraId="4EADA1E9">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（4）准确判定地下水质和土质对工程建设结构和材料的影响和要求，并对工程构筑物的材料选择和使用提出建议，对防渗用黏土作出调查；</w:t>
      </w:r>
    </w:p>
    <w:p w14:paraId="3518CF3C">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（5）查明场区内土层的液化可能性并作出评价，并对湿地池体开挖提出如何防止流砂和管涌的有效工程措施；</w:t>
      </w:r>
    </w:p>
    <w:p w14:paraId="3A31E169">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（6）查明周边河道水位与区域水系流向及相互关系；</w:t>
      </w:r>
    </w:p>
    <w:p w14:paraId="020F3ACD">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（7）查明场址的场地类别和场地土类型；</w:t>
      </w:r>
    </w:p>
    <w:p w14:paraId="4101522B">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（8）对场地土震陷作出评价；</w:t>
      </w:r>
    </w:p>
    <w:p w14:paraId="646D5B13">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（9）对场地的工程地质情况作出评价。</w:t>
      </w:r>
    </w:p>
    <w:p w14:paraId="698D3954">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（10）未尽事宜按《岩土工程勘察规范》（GB50021-2001）（2009年版）中的详细勘查阶段要求进行，且同时满足地方标准及规定的要求。</w:t>
      </w:r>
    </w:p>
    <w:p w14:paraId="1184155A">
      <w:pPr>
        <w:pStyle w:val="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第三条：合同履行期限</w:t>
      </w:r>
    </w:p>
    <w:p w14:paraId="67AC9CF7">
      <w:pPr>
        <w:pStyle w:val="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kern w:val="2"/>
          <w:sz w:val="21"/>
          <w:szCs w:val="21"/>
          <w:highlight w:val="none"/>
        </w:rPr>
      </w:pPr>
      <w:r>
        <w:rPr>
          <w:rFonts w:hint="eastAsia" w:ascii="宋体" w:hAnsi="宋体" w:eastAsia="宋体" w:cs="宋体"/>
          <w:color w:val="000000"/>
          <w:kern w:val="2"/>
          <w:sz w:val="21"/>
          <w:szCs w:val="21"/>
          <w:highlight w:val="none"/>
        </w:rPr>
        <w:t>开工报告之日起至项目通过竣工验收及其后期配套服务之日止，</w:t>
      </w:r>
      <w:r>
        <w:rPr>
          <w:rFonts w:hint="eastAsia" w:ascii="宋体" w:hAnsi="宋体" w:eastAsia="宋体" w:cs="宋体"/>
          <w:color w:val="000000"/>
          <w:sz w:val="21"/>
          <w:szCs w:val="21"/>
          <w:highlight w:val="none"/>
        </w:rPr>
        <w:t>其中详细勘察（含报告）须在</w:t>
      </w:r>
      <w:r>
        <w:rPr>
          <w:rFonts w:hint="eastAsia" w:ascii="宋体" w:hAnsi="宋体" w:eastAsia="宋体" w:cs="宋体"/>
          <w:color w:val="000000"/>
          <w:sz w:val="21"/>
          <w:szCs w:val="21"/>
          <w:highlight w:val="none"/>
          <w:lang w:eastAsia="zh-CN"/>
        </w:rPr>
        <w:t>接发</w:t>
      </w:r>
      <w:r>
        <w:rPr>
          <w:rFonts w:hint="eastAsia" w:ascii="宋体" w:hAnsi="宋体" w:eastAsia="宋体" w:cs="宋体"/>
          <w:color w:val="000000" w:themeColor="text1"/>
          <w:sz w:val="21"/>
          <w:szCs w:val="21"/>
          <w:highlight w:val="none"/>
          <w:lang w:eastAsia="zh-CN"/>
          <w14:textFill>
            <w14:solidFill>
              <w14:schemeClr w14:val="tx1"/>
            </w14:solidFill>
          </w14:textFill>
        </w:rPr>
        <w:t>包人通知后</w:t>
      </w:r>
      <w:r>
        <w:rPr>
          <w:rFonts w:hint="eastAsia" w:ascii="宋体" w:hAnsi="宋体" w:eastAsia="宋体" w:cs="宋体"/>
          <w:color w:val="000000" w:themeColor="text1"/>
          <w:kern w:val="2"/>
          <w:sz w:val="21"/>
          <w:szCs w:val="21"/>
          <w:highlight w:val="none"/>
          <w:u w:val="single"/>
          <w:lang w:val="en-US" w:eastAsia="zh-CN"/>
          <w14:textFill>
            <w14:solidFill>
              <w14:schemeClr w14:val="tx1"/>
            </w14:solidFill>
          </w14:textFill>
        </w:rPr>
        <w:t xml:space="preserve"> </w:t>
      </w:r>
      <w:r>
        <w:rPr>
          <w:rFonts w:hint="eastAsia" w:hAnsi="宋体" w:cs="宋体"/>
          <w:color w:val="000000" w:themeColor="text1"/>
          <w:kern w:val="2"/>
          <w:sz w:val="21"/>
          <w:szCs w:val="21"/>
          <w:highlight w:val="none"/>
          <w:u w:val="single"/>
          <w:lang w:val="en-US" w:eastAsia="zh-CN"/>
          <w14:textFill>
            <w14:solidFill>
              <w14:schemeClr w14:val="tx1"/>
            </w14:solidFill>
          </w14:textFill>
        </w:rPr>
        <w:t xml:space="preserve"> 15 </w:t>
      </w:r>
      <w:r>
        <w:rPr>
          <w:rFonts w:hint="eastAsia" w:ascii="宋体" w:hAnsi="宋体" w:eastAsia="宋体" w:cs="宋体"/>
          <w:color w:val="000000" w:themeColor="text1"/>
          <w:kern w:val="2"/>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日历日完成</w:t>
      </w:r>
      <w:r>
        <w:rPr>
          <w:rFonts w:hint="eastAsia" w:ascii="宋体" w:hAnsi="宋体" w:eastAsia="宋体" w:cs="宋体"/>
          <w:color w:val="000000" w:themeColor="text1"/>
          <w:sz w:val="21"/>
          <w:szCs w:val="21"/>
          <w:highlight w:val="none"/>
          <w14:textFill>
            <w14:solidFill>
              <w14:schemeClr w14:val="tx1"/>
            </w14:solidFill>
          </w14:textFill>
        </w:rPr>
        <w:t>。</w:t>
      </w:r>
    </w:p>
    <w:p w14:paraId="79162A92">
      <w:pPr>
        <w:pStyle w:val="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第四条：合同价款</w:t>
      </w:r>
    </w:p>
    <w:p w14:paraId="68F7610A">
      <w:pPr>
        <w:pStyle w:val="1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kern w:val="2"/>
          <w:szCs w:val="22"/>
          <w:highlight w:val="none"/>
        </w:rPr>
        <w:t>1、本项目采用“固定</w:t>
      </w:r>
      <w:r>
        <w:rPr>
          <w:rFonts w:hint="eastAsia" w:ascii="宋体" w:hAnsi="宋体" w:eastAsia="宋体" w:cs="宋体"/>
          <w:color w:val="000000"/>
          <w:kern w:val="2"/>
          <w:szCs w:val="22"/>
          <w:highlight w:val="none"/>
          <w:lang w:val="en-US" w:eastAsia="zh-CN"/>
        </w:rPr>
        <w:t>总价</w:t>
      </w:r>
      <w:r>
        <w:rPr>
          <w:rFonts w:hint="eastAsia" w:ascii="宋体" w:hAnsi="宋体" w:eastAsia="宋体" w:cs="宋体"/>
          <w:color w:val="000000"/>
          <w:kern w:val="2"/>
          <w:szCs w:val="22"/>
          <w:highlight w:val="none"/>
        </w:rPr>
        <w:t>合同”。</w:t>
      </w:r>
      <w:r>
        <w:rPr>
          <w:rFonts w:hint="eastAsia" w:ascii="宋体" w:hAnsi="宋体" w:eastAsia="宋体" w:cs="宋体"/>
          <w:color w:val="000000"/>
          <w:highlight w:val="none"/>
          <w:lang w:eastAsia="zh-CN"/>
        </w:rPr>
        <w:t>勘察人已</w:t>
      </w:r>
      <w:r>
        <w:rPr>
          <w:rFonts w:hint="eastAsia" w:ascii="宋体" w:hAnsi="宋体" w:eastAsia="宋体" w:cs="宋体"/>
          <w:color w:val="000000"/>
          <w:highlight w:val="none"/>
        </w:rPr>
        <w:t>充分考虑各类市场风险和政策性调整确定风险系数计入报价，如遇税金政策调整，根据国家政策据实调整结算价格。还包含增加对现场既有成品的保护费、自身的成品保护费</w:t>
      </w:r>
      <w:r>
        <w:rPr>
          <w:rFonts w:hint="eastAsia" w:ascii="宋体" w:hAnsi="宋体" w:eastAsia="宋体" w:cs="宋体"/>
          <w:color w:val="000000"/>
          <w:highlight w:val="none"/>
          <w:lang w:eastAsia="zh-CN"/>
        </w:rPr>
        <w:t>等</w:t>
      </w:r>
      <w:r>
        <w:rPr>
          <w:rFonts w:hint="eastAsia" w:ascii="宋体" w:hAnsi="宋体" w:eastAsia="宋体" w:cs="宋体"/>
          <w:color w:val="000000"/>
          <w:highlight w:val="none"/>
        </w:rPr>
        <w:t>供应商自行解决安装期间工人的食宿，</w:t>
      </w:r>
      <w:r>
        <w:rPr>
          <w:rFonts w:hint="eastAsia" w:ascii="宋体" w:hAnsi="宋体" w:eastAsia="宋体" w:cs="宋体"/>
          <w:color w:val="000000"/>
          <w:highlight w:val="none"/>
          <w:lang w:eastAsia="zh-CN"/>
        </w:rPr>
        <w:t>勘察人</w:t>
      </w:r>
      <w:r>
        <w:rPr>
          <w:rFonts w:hint="eastAsia" w:ascii="宋体" w:hAnsi="宋体" w:eastAsia="宋体" w:cs="宋体"/>
          <w:color w:val="000000"/>
          <w:highlight w:val="none"/>
        </w:rPr>
        <w:t>在工作过程中负责与本项目相应政府部门]的协调配合工作(</w:t>
      </w:r>
      <w:r>
        <w:rPr>
          <w:rFonts w:hint="eastAsia" w:ascii="宋体" w:hAnsi="宋体" w:eastAsia="宋体" w:cs="宋体"/>
          <w:color w:val="000000"/>
          <w:highlight w:val="none"/>
          <w:lang w:eastAsia="zh-CN"/>
        </w:rPr>
        <w:t>发包人</w:t>
      </w:r>
      <w:r>
        <w:rPr>
          <w:rFonts w:hint="eastAsia" w:ascii="宋体" w:hAnsi="宋体" w:eastAsia="宋体" w:cs="宋体"/>
          <w:color w:val="000000"/>
          <w:highlight w:val="none"/>
        </w:rPr>
        <w:t>协助)</w:t>
      </w:r>
      <w:r>
        <w:rPr>
          <w:rFonts w:hint="eastAsia" w:ascii="宋体" w:hAnsi="宋体" w:eastAsia="宋体" w:cs="宋体"/>
          <w:color w:val="000000"/>
          <w:highlight w:val="none"/>
          <w:lang w:eastAsia="zh-CN"/>
        </w:rPr>
        <w:t>，详细勘察</w:t>
      </w:r>
      <w:r>
        <w:rPr>
          <w:rFonts w:hint="eastAsia" w:ascii="宋体" w:hAnsi="宋体" w:eastAsia="宋体" w:cs="宋体"/>
          <w:color w:val="000000"/>
          <w:highlight w:val="none"/>
          <w:lang w:val="en-US" w:eastAsia="zh-CN"/>
        </w:rPr>
        <w:t>设备二次进出场等</w:t>
      </w:r>
      <w:r>
        <w:rPr>
          <w:rFonts w:hint="eastAsia" w:ascii="宋体" w:hAnsi="宋体" w:eastAsia="宋体" w:cs="宋体"/>
          <w:color w:val="000000"/>
          <w:highlight w:val="none"/>
          <w:lang w:eastAsia="zh-CN"/>
        </w:rPr>
        <w:t>，成交价已</w:t>
      </w:r>
      <w:r>
        <w:rPr>
          <w:rFonts w:hint="eastAsia" w:ascii="宋体" w:hAnsi="宋体" w:eastAsia="宋体" w:cs="宋体"/>
          <w:color w:val="000000"/>
          <w:highlight w:val="none"/>
        </w:rPr>
        <w:t>包含但不限于上述所有相关费用。</w:t>
      </w:r>
    </w:p>
    <w:p w14:paraId="42DF5CAD">
      <w:pPr>
        <w:pStyle w:val="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第五条：履约保证金</w:t>
      </w:r>
    </w:p>
    <w:p w14:paraId="1DA6D520">
      <w:pPr>
        <w:pStyle w:val="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无。</w:t>
      </w:r>
    </w:p>
    <w:p w14:paraId="001E1BD8">
      <w:pPr>
        <w:pStyle w:val="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第六条：勘察人提交的成果资料</w:t>
      </w:r>
    </w:p>
    <w:p w14:paraId="649BF735">
      <w:pPr>
        <w:pStyle w:val="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kern w:val="2"/>
          <w:sz w:val="21"/>
          <w:szCs w:val="21"/>
          <w:highlight w:val="none"/>
        </w:rPr>
      </w:pPr>
      <w:r>
        <w:rPr>
          <w:rFonts w:hint="eastAsia" w:ascii="宋体" w:hAnsi="宋体" w:eastAsia="宋体" w:cs="宋体"/>
          <w:color w:val="000000"/>
          <w:kern w:val="2"/>
          <w:sz w:val="21"/>
          <w:szCs w:val="21"/>
          <w:highlight w:val="none"/>
        </w:rPr>
        <w:t>勘察报告成果文件纸质版一式五份，电子稿一份（U盘形式）。</w:t>
      </w:r>
    </w:p>
    <w:p w14:paraId="1371C063">
      <w:pPr>
        <w:pStyle w:val="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第七条：工程结算费</w:t>
      </w:r>
    </w:p>
    <w:p w14:paraId="7CD74366">
      <w:pPr>
        <w:pStyle w:val="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rPr>
        <w:t>勘察人</w:t>
      </w:r>
      <w:r>
        <w:rPr>
          <w:rFonts w:hint="eastAsia" w:ascii="宋体" w:hAnsi="宋体" w:eastAsia="宋体" w:cs="宋体"/>
          <w:color w:val="000000"/>
          <w:kern w:val="2"/>
          <w:sz w:val="21"/>
          <w:szCs w:val="21"/>
          <w:highlight w:val="none"/>
          <w:lang w:val="en-US" w:eastAsia="zh-CN"/>
        </w:rPr>
        <w:t>提交详细勘察报告后付至勘察费合同金额的30%，交付经审核过的详细勘察报告后15个工作日内，发包人付至</w:t>
      </w:r>
      <w:r>
        <w:rPr>
          <w:rFonts w:hint="eastAsia" w:hAnsi="宋体" w:cs="宋体"/>
          <w:color w:val="000000"/>
          <w:kern w:val="2"/>
          <w:sz w:val="21"/>
          <w:szCs w:val="21"/>
          <w:highlight w:val="none"/>
          <w:lang w:val="en-US" w:eastAsia="zh-CN"/>
        </w:rPr>
        <w:t>合同</w:t>
      </w:r>
      <w:r>
        <w:rPr>
          <w:rFonts w:hint="eastAsia" w:ascii="宋体" w:hAnsi="宋体" w:eastAsia="宋体" w:cs="宋体"/>
          <w:color w:val="000000"/>
          <w:kern w:val="2"/>
          <w:sz w:val="21"/>
          <w:szCs w:val="21"/>
          <w:highlight w:val="none"/>
          <w:lang w:val="en-US" w:eastAsia="zh-CN"/>
        </w:rPr>
        <w:t>金额的</w:t>
      </w:r>
      <w:r>
        <w:rPr>
          <w:rFonts w:hint="eastAsia" w:hAnsi="宋体" w:cs="宋体"/>
          <w:color w:val="000000"/>
          <w:kern w:val="2"/>
          <w:sz w:val="21"/>
          <w:szCs w:val="21"/>
          <w:highlight w:val="none"/>
          <w:lang w:val="en-US" w:eastAsia="zh-CN"/>
        </w:rPr>
        <w:t>6</w:t>
      </w:r>
      <w:r>
        <w:rPr>
          <w:rFonts w:hint="eastAsia" w:ascii="宋体" w:hAnsi="宋体" w:eastAsia="宋体" w:cs="宋体"/>
          <w:color w:val="000000"/>
          <w:kern w:val="2"/>
          <w:sz w:val="21"/>
          <w:szCs w:val="21"/>
          <w:highlight w:val="none"/>
          <w:lang w:val="en-US" w:eastAsia="zh-CN"/>
        </w:rPr>
        <w:t>0%；项目竣工验收后发包人付至</w:t>
      </w:r>
      <w:r>
        <w:rPr>
          <w:rFonts w:hint="eastAsia" w:hAnsi="宋体" w:cs="宋体"/>
          <w:color w:val="000000"/>
          <w:kern w:val="2"/>
          <w:sz w:val="21"/>
          <w:szCs w:val="21"/>
          <w:highlight w:val="none"/>
          <w:lang w:val="en-US" w:eastAsia="zh-CN"/>
        </w:rPr>
        <w:t>合同</w:t>
      </w:r>
      <w:r>
        <w:rPr>
          <w:rFonts w:hint="eastAsia" w:ascii="宋体" w:hAnsi="宋体" w:eastAsia="宋体" w:cs="宋体"/>
          <w:color w:val="000000"/>
          <w:kern w:val="2"/>
          <w:sz w:val="21"/>
          <w:szCs w:val="21"/>
          <w:highlight w:val="none"/>
          <w:lang w:val="en-US" w:eastAsia="zh-CN"/>
        </w:rPr>
        <w:t>金额的100%，,每次付款均需提供有效增值税发票。</w:t>
      </w:r>
    </w:p>
    <w:p w14:paraId="3588B31E">
      <w:pPr>
        <w:pStyle w:val="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发包人有权根据工程进度及国拨资金到位情况调整工程付款的时间及额度,勘察人不得有异议。</w:t>
      </w:r>
    </w:p>
    <w:p w14:paraId="14222DB5">
      <w:pPr>
        <w:pStyle w:val="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第八条：双方责任</w:t>
      </w:r>
    </w:p>
    <w:p w14:paraId="17B39D66">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1．发包人责任</w:t>
      </w:r>
    </w:p>
    <w:p w14:paraId="2EC334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（一）向勘察人提供有关建设项目审批文件、设计基础资料，并对提供的时间、进度与资料的可靠性负责。在勘测工作开展前，应提出勘察技术要求及标有拟建工程准确位置的地形图，圈定测量范围的平面图。</w:t>
      </w:r>
    </w:p>
    <w:p w14:paraId="5368A4A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（二）在勘察人员进入现场作业或配合施工时，应负责提供必要的工作条件。</w:t>
      </w:r>
    </w:p>
    <w:p w14:paraId="31E321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（三）按照规定按时付给勘察费。</w:t>
      </w:r>
    </w:p>
    <w:p w14:paraId="0A7F63C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2．勘察人责任</w:t>
      </w:r>
    </w:p>
    <w:p w14:paraId="0061F2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（一）按照现行标准、规范、规程和技术条例，进行工程测量，工程地质，水文地质，地层岩性等勘察工作，并按合同规定的进度、质量提交勘察成果。</w:t>
      </w:r>
    </w:p>
    <w:p w14:paraId="005B4B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（二）地质勘察经上级主管部门审查后，在原定任务书范围内的必要修改，由勘察人负责。原定任务书有重大变更而需重作时，须有审批机关或任务书批准机关的意见书，经双方协商，另订合同。</w:t>
      </w:r>
    </w:p>
    <w:p w14:paraId="2781CF0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（三）对于复杂项目，需要勘察人协助收集基础资料时，应按技术服务的有关规定办理。</w:t>
      </w:r>
    </w:p>
    <w:p w14:paraId="6FC81439">
      <w:pPr>
        <w:pStyle w:val="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第九条：经济赔偿</w:t>
      </w:r>
    </w:p>
    <w:p w14:paraId="7A40F300">
      <w:pPr>
        <w:pStyle w:val="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kern w:val="2"/>
          <w:sz w:val="21"/>
          <w:szCs w:val="21"/>
          <w:highlight w:val="none"/>
        </w:rPr>
      </w:pPr>
      <w:r>
        <w:rPr>
          <w:rFonts w:hint="eastAsia" w:ascii="宋体" w:hAnsi="宋体" w:eastAsia="宋体" w:cs="宋体"/>
          <w:color w:val="000000"/>
          <w:kern w:val="2"/>
          <w:sz w:val="21"/>
          <w:szCs w:val="21"/>
          <w:highlight w:val="none"/>
        </w:rPr>
        <w:t>1．勘察人不履行合同，发包人有权没收履约保证金。</w:t>
      </w:r>
    </w:p>
    <w:p w14:paraId="7B5AE50D">
      <w:pPr>
        <w:pStyle w:val="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kern w:val="2"/>
          <w:sz w:val="21"/>
          <w:szCs w:val="21"/>
          <w:highlight w:val="none"/>
        </w:rPr>
      </w:pPr>
      <w:r>
        <w:rPr>
          <w:rFonts w:hint="eastAsia" w:ascii="宋体" w:hAnsi="宋体" w:eastAsia="宋体" w:cs="宋体"/>
          <w:color w:val="000000"/>
          <w:kern w:val="2"/>
          <w:sz w:val="21"/>
          <w:szCs w:val="21"/>
          <w:highlight w:val="none"/>
        </w:rPr>
        <w:t>2．由于勘察人的勘察错误，给发包人造成较大经济损失时，勘察人除负责积极采取补救措施外，要免收损失部分的勘察费，并应付给发包人与直接损失部分勘察费相等的赔偿金。</w:t>
      </w:r>
    </w:p>
    <w:p w14:paraId="512A97E3">
      <w:pPr>
        <w:pStyle w:val="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kern w:val="2"/>
          <w:sz w:val="21"/>
          <w:szCs w:val="21"/>
          <w:highlight w:val="none"/>
        </w:rPr>
      </w:pPr>
      <w:r>
        <w:rPr>
          <w:rFonts w:hint="eastAsia" w:ascii="宋体" w:hAnsi="宋体" w:eastAsia="宋体" w:cs="宋体"/>
          <w:color w:val="000000"/>
          <w:kern w:val="2"/>
          <w:sz w:val="21"/>
          <w:szCs w:val="21"/>
          <w:highlight w:val="none"/>
        </w:rPr>
        <w:t xml:space="preserve">3．勘察文件（图纸）交付时间按协议规定时间拖后时，由双方商定，每逾期一天，发包人可少付该阶段勘察费的百分之一。 </w:t>
      </w:r>
    </w:p>
    <w:p w14:paraId="4C9EC197">
      <w:pPr>
        <w:ind w:firstLine="420" w:firstLineChars="200"/>
        <w:rPr>
          <w:rFonts w:hint="default" w:eastAsia="宋体"/>
          <w:lang w:val="en-US" w:eastAsia="zh-CN"/>
        </w:rPr>
      </w:pPr>
      <w:r>
        <w:rPr>
          <w:rFonts w:hint="eastAsia" w:ascii="宋体" w:hAnsi="宋体" w:cs="宋体"/>
          <w:color w:val="000000"/>
          <w:kern w:val="2"/>
          <w:sz w:val="21"/>
          <w:szCs w:val="21"/>
          <w:highlight w:val="none"/>
          <w:lang w:val="en-US" w:eastAsia="zh-CN"/>
        </w:rPr>
        <w:t>4.如因方案变更引发的合同外勘察要求，双方另行协商。</w:t>
      </w:r>
    </w:p>
    <w:p w14:paraId="3AF3BBF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rPr>
        <w:t>第十条：</w:t>
      </w:r>
      <w:r>
        <w:rPr>
          <w:rFonts w:hint="eastAsia" w:ascii="宋体" w:hAnsi="宋体" w:eastAsia="宋体" w:cs="宋体"/>
          <w:color w:val="000000"/>
          <w:sz w:val="21"/>
          <w:szCs w:val="21"/>
          <w:highlight w:val="none"/>
        </w:rPr>
        <w:t>因违反或终止合同而引起的对对方损失和损害的赔偿，双方应当协商解决，如未能达成一致，可提交主管部门协调，如仍未能达成一致时，根据双方约定提交</w:t>
      </w:r>
      <w:r>
        <w:rPr>
          <w:rFonts w:hint="eastAsia" w:ascii="宋体" w:hAnsi="宋体" w:eastAsia="宋体" w:cs="宋体"/>
          <w:color w:val="000000"/>
          <w:sz w:val="21"/>
          <w:szCs w:val="21"/>
          <w:highlight w:val="none"/>
          <w:u w:val="single"/>
          <w:lang w:val="en-US" w:eastAsia="zh-CN"/>
        </w:rPr>
        <w:t xml:space="preserve"> 江宁  </w:t>
      </w:r>
      <w:r>
        <w:rPr>
          <w:rFonts w:hint="eastAsia" w:ascii="宋体" w:hAnsi="宋体" w:eastAsia="宋体" w:cs="宋体"/>
          <w:color w:val="000000"/>
          <w:sz w:val="21"/>
          <w:szCs w:val="21"/>
          <w:highlight w:val="none"/>
        </w:rPr>
        <w:t>区仲裁机关仲裁，或向</w:t>
      </w:r>
      <w:r>
        <w:rPr>
          <w:rFonts w:hint="eastAsia" w:ascii="宋体" w:hAnsi="宋体" w:eastAsia="宋体" w:cs="宋体"/>
          <w:color w:val="000000"/>
          <w:sz w:val="21"/>
          <w:szCs w:val="21"/>
          <w:highlight w:val="none"/>
          <w:u w:val="single"/>
          <w:lang w:val="en-US" w:eastAsia="zh-CN"/>
        </w:rPr>
        <w:t xml:space="preserve"> 江宁  </w:t>
      </w:r>
      <w:r>
        <w:rPr>
          <w:rFonts w:hint="eastAsia" w:ascii="宋体" w:hAnsi="宋体" w:eastAsia="宋体" w:cs="宋体"/>
          <w:color w:val="000000"/>
          <w:sz w:val="21"/>
          <w:szCs w:val="21"/>
          <w:highlight w:val="none"/>
        </w:rPr>
        <w:t>区人民法院起诉。</w:t>
      </w:r>
    </w:p>
    <w:p w14:paraId="4B6BBDF7">
      <w:pPr>
        <w:pStyle w:val="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第十一条：其它</w:t>
      </w:r>
    </w:p>
    <w:p w14:paraId="03D97E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1．合同未尽事宜，经双方协商一致，可在合同中增加补充条款，补充条款也同样是合同的有效部分。</w:t>
      </w:r>
    </w:p>
    <w:p w14:paraId="515D2D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2．本合同附件的委托勘察项目表以为本合同的组成部分，具有同等</w:t>
      </w: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HYPERLINK "http://www.jianshe99.com/web/fagui/" \t "_blank" \o "法律" </w:instrText>
      </w:r>
      <w:r>
        <w:rPr>
          <w:rFonts w:hint="eastAsia" w:ascii="宋体" w:hAnsi="宋体" w:eastAsia="宋体" w:cs="宋体"/>
          <w:color w:val="000000"/>
          <w:sz w:val="21"/>
          <w:szCs w:val="21"/>
          <w:highlight w:val="none"/>
        </w:rPr>
        <w:fldChar w:fldCharType="separate"/>
      </w:r>
      <w:r>
        <w:rPr>
          <w:rFonts w:hint="eastAsia" w:ascii="宋体" w:hAnsi="宋体" w:eastAsia="宋体" w:cs="宋体"/>
          <w:color w:val="000000"/>
          <w:sz w:val="21"/>
          <w:szCs w:val="21"/>
          <w:highlight w:val="none"/>
        </w:rPr>
        <w:t>法律</w: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效力。</w:t>
      </w:r>
    </w:p>
    <w:p w14:paraId="3B572C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3．本合同一式捌份。其中正本二份（双方各执一份），副本陆份。</w:t>
      </w:r>
    </w:p>
    <w:p w14:paraId="6BFF675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发包人（盖章）：_________　　　　   </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勘察人（盖章）：_________</w:t>
      </w:r>
    </w:p>
    <w:p w14:paraId="1492EC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发包人代表（签字）：_________　　　　勘察代表（签字）：_____________</w:t>
      </w:r>
    </w:p>
    <w:p w14:paraId="5B8DBE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电话：_____________________　　　</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 xml:space="preserve">   电话：</w:t>
      </w:r>
      <w:r>
        <w:rPr>
          <w:rFonts w:hint="eastAsia" w:ascii="宋体" w:hAnsi="宋体" w:eastAsia="宋体" w:cs="宋体"/>
          <w:color w:val="000000"/>
          <w:sz w:val="21"/>
          <w:szCs w:val="21"/>
          <w:highlight w:val="none"/>
          <w:u w:val="single"/>
          <w:lang w:val="en-US" w:eastAsia="zh-CN"/>
        </w:rPr>
        <w:t xml:space="preserve">               </w:t>
      </w:r>
    </w:p>
    <w:p w14:paraId="2F4B6F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开户行：___________________　　</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 xml:space="preserve"> </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　开户行：</w:t>
      </w:r>
      <w:r>
        <w:rPr>
          <w:rFonts w:hint="eastAsia" w:ascii="宋体" w:hAnsi="宋体" w:eastAsia="宋体" w:cs="宋体"/>
          <w:color w:val="000000"/>
          <w:sz w:val="21"/>
          <w:szCs w:val="21"/>
          <w:highlight w:val="none"/>
          <w:u w:val="single"/>
          <w:lang w:val="en-US" w:eastAsia="zh-CN"/>
        </w:rPr>
        <w:t xml:space="preserve">               </w:t>
      </w:r>
    </w:p>
    <w:p w14:paraId="5C8C3D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账号：_____________________　</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　</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　账号：</w:t>
      </w:r>
      <w:r>
        <w:rPr>
          <w:rFonts w:hint="eastAsia" w:ascii="宋体" w:hAnsi="宋体" w:eastAsia="宋体" w:cs="宋体"/>
          <w:color w:val="000000"/>
          <w:sz w:val="21"/>
          <w:szCs w:val="21"/>
          <w:highlight w:val="none"/>
          <w:u w:val="single"/>
          <w:lang w:val="en-US" w:eastAsia="zh-CN"/>
        </w:rPr>
        <w:t xml:space="preserve">                </w:t>
      </w:r>
    </w:p>
    <w:p w14:paraId="3609F6E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通信地址：_________________　　　    通信地址：</w:t>
      </w:r>
      <w:r>
        <w:rPr>
          <w:rFonts w:hint="eastAsia" w:ascii="宋体" w:hAnsi="宋体" w:eastAsia="宋体" w:cs="宋体"/>
          <w:color w:val="000000"/>
          <w:sz w:val="21"/>
          <w:szCs w:val="21"/>
          <w:highlight w:val="none"/>
          <w:u w:val="single"/>
          <w:lang w:val="en-US" w:eastAsia="zh-CN"/>
        </w:rPr>
        <w:t xml:space="preserve">           </w:t>
      </w:r>
    </w:p>
    <w:p w14:paraId="69CC4FA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_________年______月______日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年</w:t>
      </w:r>
      <w:r>
        <w:rPr>
          <w:rFonts w:hint="eastAsia" w:ascii="宋体" w:hAnsi="宋体" w:eastAsia="宋体" w:cs="宋体"/>
          <w:color w:val="000000"/>
          <w:sz w:val="21"/>
          <w:szCs w:val="21"/>
          <w:highlight w:val="none"/>
          <w:u w:val="single"/>
          <w:lang w:val="en-US" w:eastAsia="zh-CN"/>
        </w:rPr>
        <w:t xml:space="preserve">      6 </w:t>
      </w:r>
      <w:r>
        <w:rPr>
          <w:rFonts w:hint="eastAsia" w:ascii="宋体" w:hAnsi="宋体" w:eastAsia="宋体" w:cs="宋体"/>
          <w:color w:val="000000"/>
          <w:sz w:val="21"/>
          <w:szCs w:val="21"/>
          <w:highlight w:val="none"/>
        </w:rPr>
        <w:t>月________日</w:t>
      </w:r>
    </w:p>
    <w:p w14:paraId="0606C3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sectPr>
          <w:pgSz w:w="11906" w:h="16838"/>
          <w:pgMar w:top="1361" w:right="1134" w:bottom="1361" w:left="1134" w:header="851" w:footer="992" w:gutter="0"/>
          <w:pgNumType w:fmt="decimal"/>
          <w:cols w:space="720" w:num="1"/>
          <w:docGrid w:type="lines" w:linePitch="312" w:charSpace="0"/>
        </w:sectPr>
      </w:pPr>
      <w:r>
        <w:rPr>
          <w:rFonts w:hint="eastAsia" w:ascii="宋体" w:hAnsi="宋体" w:eastAsia="宋体" w:cs="宋体"/>
          <w:color w:val="000000"/>
          <w:sz w:val="21"/>
          <w:szCs w:val="21"/>
          <w:highlight w:val="none"/>
        </w:rPr>
        <w:t>签订地点：_________________　　　    签订地点：____________________</w:t>
      </w:r>
    </w:p>
    <w:p w14:paraId="257DACB0">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b w:val="0"/>
          <w:color w:val="000000"/>
          <w:sz w:val="21"/>
          <w:szCs w:val="21"/>
          <w:highlight w:val="none"/>
        </w:rPr>
      </w:pPr>
      <w:bookmarkStart w:id="184" w:name="_Toc133414595"/>
      <w:r>
        <w:rPr>
          <w:rFonts w:hint="eastAsia" w:ascii="宋体" w:hAnsi="宋体" w:eastAsia="宋体" w:cs="宋体"/>
          <w:b w:val="0"/>
          <w:color w:val="000000"/>
          <w:sz w:val="21"/>
          <w:szCs w:val="21"/>
          <w:highlight w:val="none"/>
        </w:rPr>
        <w:t>附件1：廉政协议书</w:t>
      </w:r>
      <w:bookmarkEnd w:id="184"/>
    </w:p>
    <w:p w14:paraId="7C6E3871">
      <w:pPr>
        <w:spacing w:line="360" w:lineRule="auto"/>
        <w:jc w:val="center"/>
        <w:rPr>
          <w:rFonts w:hint="eastAsia" w:ascii="宋体" w:hAnsi="宋体" w:eastAsia="宋体" w:cs="宋体"/>
          <w:color w:val="000000"/>
          <w:szCs w:val="21"/>
          <w:highlight w:val="none"/>
        </w:rPr>
      </w:pPr>
      <w:bookmarkStart w:id="185" w:name="_Toc133414596"/>
      <w:r>
        <w:rPr>
          <w:rFonts w:hint="eastAsia" w:ascii="宋体" w:hAnsi="宋体" w:eastAsia="宋体" w:cs="宋体"/>
          <w:color w:val="000000"/>
          <w:szCs w:val="21"/>
          <w:highlight w:val="none"/>
        </w:rPr>
        <w:t>廉 政 协 议 书</w:t>
      </w:r>
    </w:p>
    <w:p w14:paraId="458E6AFC">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为了贯彻落实党中央国务院《关于实现党风廉政建设责任制的规定》和江苏省、南京市有关工程建设、廉政建设的法律法规，加强工程建设中的党风廉政建设，保证中国药科大学基本建设和专项维修项目优质、高效、健康、有序地进行，中国药科大学作为建设单位（以下称甲方）,与承担</w:t>
      </w:r>
      <w:r>
        <w:rPr>
          <w:rFonts w:hint="eastAsia" w:ascii="宋体" w:hAnsi="宋体" w:eastAsia="宋体" w:cs="宋体"/>
          <w:color w:val="000000"/>
          <w:szCs w:val="21"/>
          <w:highlight w:val="none"/>
          <w:u w:val="single"/>
          <w:lang w:val="en-US" w:eastAsia="zh-CN"/>
        </w:rPr>
        <w:t>中国药科大学水环境治理项目工程勘测</w:t>
      </w:r>
      <w:r>
        <w:rPr>
          <w:rFonts w:hint="eastAsia" w:ascii="宋体" w:hAnsi="宋体" w:eastAsia="宋体" w:cs="宋体"/>
          <w:color w:val="000000"/>
          <w:szCs w:val="21"/>
          <w:highlight w:val="none"/>
        </w:rPr>
        <w:t>工程的施工单位</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u w:val="single"/>
          <w:lang w:val="en-US" w:eastAsia="zh-CN"/>
        </w:rPr>
        <w:t xml:space="preserve">                </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（以下称乙方）特订立如下廉政协议书。</w:t>
      </w:r>
    </w:p>
    <w:p w14:paraId="714FA3A1">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第一条、甲乙双方约定</w:t>
      </w:r>
    </w:p>
    <w:p w14:paraId="42A49E67">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l、甲乙双方应共同遵守国家和省、市以及行业主管部门关于加强工程建设管理及党风廉政建设的各项规定。</w:t>
      </w:r>
    </w:p>
    <w:p w14:paraId="0EFEA815">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2、甲乙双方应认真执行建设工程的合同文件,自觉按合同办事。</w:t>
      </w:r>
    </w:p>
    <w:p w14:paraId="3881A94B">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3、除法律认定的商业秘密和合同文件另有规定之外,甲乙双方的业务活动应坚持公开、公正、透明的原则,严禁损害国家和甲乙双方集体利益、违反工程建设管理规章制度的不正当交易。</w:t>
      </w:r>
    </w:p>
    <w:p w14:paraId="2708706E">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4、甲乙双方应加强对本工程建设参加人员的廉政监督,建立和健全廉政制度,认真查处本方人员的违法违纪行为。</w:t>
      </w:r>
    </w:p>
    <w:p w14:paraId="0016A1D4">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5、甲乙双方有对本方人员开展廉政告知、廉政教育和职业道德教育的义务。</w:t>
      </w:r>
    </w:p>
    <w:p w14:paraId="75BC6EF5">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6、甲乙双方如发现对方在业务活动中有不廉洁行为,有及时提醒对方并督促其纠正的权利和义务。</w:t>
      </w:r>
    </w:p>
    <w:p w14:paraId="276E4A8F">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第二条、甲方在廉政建设方面的责任</w:t>
      </w:r>
    </w:p>
    <w:p w14:paraId="4F260812">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1、甲方及其工作人员不得以任何形式向乙方索要和收受回扣。</w:t>
      </w:r>
    </w:p>
    <w:p w14:paraId="0B7CD343">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2、甲方及其工作人员不得接受乙方的礼金、有价证券和贵重物品,不得在乙方报销任何应由个人支付的费用。</w:t>
      </w:r>
    </w:p>
    <w:p w14:paraId="563D11E2">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3、甲方工作人员不得参加可能对公正执行公务有影响的宴请、娱乐、休闲、旅游等活动。</w:t>
      </w:r>
    </w:p>
    <w:p w14:paraId="10D50D12">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4、甲方及其工作人员不得要求或者接受乙方为其住房装修、婚丧嫁娶、家属子女的工作安排以及出国、出境等提供方便。</w:t>
      </w:r>
    </w:p>
    <w:p w14:paraId="3C0584C1">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5、甲方及其工作人员不得向乙方介绍家属、亲友从事与甲方工程有关的材料设备供应、工程分包等经济活动。</w:t>
      </w:r>
    </w:p>
    <w:p w14:paraId="0F8B15DF">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6、甲方工作人员不得在家里接待乙方有关工程事项的询访。</w:t>
      </w:r>
    </w:p>
    <w:p w14:paraId="155014D1">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第三条、乙方在廉政建设方面的责任</w:t>
      </w:r>
    </w:p>
    <w:p w14:paraId="507A301F">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1、乙方不得以任何理由向甲方及其工作人员赠送礼金、有价证券和贵重物品等。</w:t>
      </w:r>
    </w:p>
    <w:p w14:paraId="401DBC72">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2、乙方不得以任何名义为甲方及其工作人员报支应由个人支付的任何费用。</w:t>
      </w:r>
    </w:p>
    <w:p w14:paraId="05FEE55F">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3、乙方不得以任何理由邀请甲方工作人员参加宴请、娱乐、休闲、旅游等活动。</w:t>
      </w:r>
    </w:p>
    <w:p w14:paraId="212144B8">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4、乙方不得为甲方单位和个人购置或提供通讯工具、交通工具、家电和高档办公用品或者为通讯工具充值。</w:t>
      </w:r>
    </w:p>
    <w:p w14:paraId="60FF37B2">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5、乙方人员不得到甲方人员家里询访有关工程建设事项。</w:t>
      </w:r>
    </w:p>
    <w:p w14:paraId="4AEA1034">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第四条、违约责任</w:t>
      </w:r>
    </w:p>
    <w:p w14:paraId="0B202881">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1、甲方及其工作人员有违反本廉政协议书第一条和第二条的,按甲方单位的廉政建设规定处罚，同时汇报检察机关。</w:t>
      </w:r>
    </w:p>
    <w:p w14:paraId="19D20EDC">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乙方有违反本廉政协议书第一条和第三条的,除通过上级纪检监察机关按乙方单位的廉政建设规定处罚外,视情节轻重和造成损失大小依照相关法律、法规追究相关责任，且在3年内不得参加中国药科大学建设项目投标活动。</w:t>
      </w:r>
    </w:p>
    <w:p w14:paraId="508DFF34">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第五条、中国药科大学廉政监督部门为中国药科大学纪检监察室，如出现廉政问题，由监督部门按相关法律法规进行处理。</w:t>
      </w:r>
    </w:p>
    <w:p w14:paraId="782823AF">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第六条、本廉政协议书有效期为从甲乙双方签署之日起,到该工程项目竣工验收后止。</w:t>
      </w:r>
    </w:p>
    <w:p w14:paraId="74AA9602">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第七条、本廉政协议书作为工程合同的附件,与工程承包合同具有同等的法律效力,经协议双方签署后立即生效。</w:t>
      </w:r>
    </w:p>
    <w:p w14:paraId="2EADB3A6">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本协议书未尽事宜，参照国家相关法律规定及《中国药科大学基本建设和专项维修项目廉政建设管理细则》等。</w:t>
      </w:r>
    </w:p>
    <w:p w14:paraId="00C4650F">
      <w:pPr>
        <w:keepNext w:val="0"/>
        <w:keepLines w:val="0"/>
        <w:pageBreakBefore w:val="0"/>
        <w:widowControl w:val="0"/>
        <w:tabs>
          <w:tab w:val="left" w:pos="4515"/>
        </w:tabs>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甲方单位：（盖章）            乙方单位：（盖章）</w:t>
      </w:r>
    </w:p>
    <w:p w14:paraId="16F2C517">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法定代表人：                  法定代表人：</w:t>
      </w:r>
    </w:p>
    <w:p w14:paraId="3E5D5E10">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rPr>
        <w:t>地址：                        地址：</w:t>
      </w:r>
      <w:r>
        <w:rPr>
          <w:rFonts w:hint="eastAsia" w:ascii="宋体" w:hAnsi="宋体" w:eastAsia="宋体" w:cs="宋体"/>
          <w:color w:val="000000"/>
          <w:szCs w:val="21"/>
          <w:highlight w:val="none"/>
          <w:lang w:val="en-US" w:eastAsia="zh-CN"/>
        </w:rPr>
        <w:t xml:space="preserve"> </w:t>
      </w:r>
    </w:p>
    <w:p w14:paraId="25275282">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rPr>
        <w:t>电话：                        电话：</w:t>
      </w:r>
      <w:r>
        <w:rPr>
          <w:rFonts w:hint="eastAsia" w:ascii="宋体" w:hAnsi="宋体" w:eastAsia="宋体" w:cs="宋体"/>
          <w:color w:val="000000"/>
          <w:szCs w:val="21"/>
          <w:highlight w:val="none"/>
          <w:lang w:val="en-US" w:eastAsia="zh-CN"/>
        </w:rPr>
        <w:t xml:space="preserve"> </w:t>
      </w:r>
    </w:p>
    <w:p w14:paraId="3A66BBFA">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签约日期：   年  月  日       签约日期： </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 xml:space="preserve"> 年 </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 xml:space="preserve"> 月   日 </w:t>
      </w:r>
    </w:p>
    <w:p w14:paraId="0CF6215B">
      <w:pPr>
        <w:pStyle w:val="3"/>
        <w:rPr>
          <w:rFonts w:hint="eastAsia" w:ascii="宋体" w:hAnsi="宋体" w:eastAsia="宋体" w:cs="宋体"/>
          <w:b w:val="0"/>
          <w:color w:val="000000"/>
          <w:sz w:val="21"/>
          <w:szCs w:val="21"/>
          <w:highlight w:val="none"/>
        </w:rPr>
      </w:pPr>
    </w:p>
    <w:p w14:paraId="3DCE3A2B">
      <w:pPr>
        <w:rPr>
          <w:rFonts w:hint="eastAsia" w:ascii="宋体" w:hAnsi="宋体" w:eastAsia="宋体" w:cs="宋体"/>
          <w:b w:val="0"/>
          <w:color w:val="000000"/>
          <w:sz w:val="21"/>
          <w:szCs w:val="21"/>
          <w:highlight w:val="none"/>
        </w:rPr>
      </w:pPr>
      <w:r>
        <w:rPr>
          <w:rFonts w:hint="eastAsia" w:ascii="宋体" w:hAnsi="宋体" w:eastAsia="宋体" w:cs="宋体"/>
          <w:b w:val="0"/>
          <w:color w:val="000000"/>
          <w:sz w:val="21"/>
          <w:szCs w:val="21"/>
          <w:highlight w:val="none"/>
        </w:rPr>
        <w:br w:type="page"/>
      </w:r>
    </w:p>
    <w:p w14:paraId="7FB89D13">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b w:val="0"/>
          <w:color w:val="000000"/>
          <w:sz w:val="21"/>
          <w:szCs w:val="21"/>
          <w:highlight w:val="none"/>
        </w:rPr>
      </w:pPr>
      <w:r>
        <w:rPr>
          <w:rFonts w:hint="eastAsia" w:ascii="宋体" w:hAnsi="宋体" w:eastAsia="宋体" w:cs="宋体"/>
          <w:b w:val="0"/>
          <w:color w:val="000000"/>
          <w:sz w:val="21"/>
          <w:szCs w:val="21"/>
          <w:highlight w:val="none"/>
        </w:rPr>
        <w:t>附件2：中国药科大学校内工程文明施工承诺书</w:t>
      </w:r>
      <w:bookmarkEnd w:id="185"/>
    </w:p>
    <w:p w14:paraId="70BC6177">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rPr>
          <w:rFonts w:hint="eastAsia" w:ascii="宋体" w:hAnsi="宋体" w:eastAsia="宋体" w:cs="宋体"/>
          <w:color w:val="000000"/>
          <w:szCs w:val="21"/>
          <w:highlight w:val="none"/>
        </w:rPr>
      </w:pPr>
      <w:bookmarkStart w:id="186" w:name="_Toc133414597"/>
      <w:r>
        <w:rPr>
          <w:rFonts w:hint="eastAsia" w:ascii="宋体" w:hAnsi="宋体" w:eastAsia="宋体" w:cs="宋体"/>
          <w:color w:val="000000"/>
          <w:szCs w:val="21"/>
          <w:highlight w:val="none"/>
        </w:rPr>
        <w:t>中国药科大学校内工程文明施工承诺书</w:t>
      </w:r>
    </w:p>
    <w:p w14:paraId="40CA6BF5">
      <w:pPr>
        <w:pStyle w:val="113"/>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一、施工单位必须做到文明施工，并制定完善的安全管理制度。开工前，必须到学校保卫处办理人员等相关登记手续，并加强对所属人员的教育和管理，要求所属人员做到言谈文明、举止得体，施工人员的活动范围只局限在施工区域，避免发生影响学校教学、科研、生活正常秩序的问题，否则公司要负相关责任。 </w:t>
      </w:r>
    </w:p>
    <w:p w14:paraId="252BF01F">
      <w:pPr>
        <w:pStyle w:val="113"/>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二、在施工过程中应注意对树木、花草、绿篱、房舍、校内路面等校园内一切公共设施的保护。如有损坏，必须按有关规定予以恢复，并处以1000 —5000 元的违约金，并责令其恢复。 </w:t>
      </w:r>
    </w:p>
    <w:p w14:paraId="5DD7FA2E">
      <w:pPr>
        <w:pStyle w:val="113"/>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三、在施工期间，应在施工现场显著位置设立安全警告牌，并确保警告牌的整洁、醒目。未按此项要求进行操作的，相关管理部门要责令其停工并限期整改，如不改正则令其停止施工，由此产生的工期延误和经济损失由施工单位承担，整改后经检查确定符合要求后方可继续施工。 </w:t>
      </w:r>
    </w:p>
    <w:p w14:paraId="74DDF00D">
      <w:pPr>
        <w:pStyle w:val="113"/>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四、施工单位在校内施工必须严格遵守学校的各项管理规定。未经基建后勤处批准或相关协管部门同意严禁破路施工，严禁在道路上堆放施工材料、施工机械及在路面搅拌混凝土。特殊情况下，需征得基建后勤处及相关协管部门同意，需要临时占用道路的，不得影响正常交通并将建筑材料或物品在指定地点堆放整齐。 </w:t>
      </w:r>
    </w:p>
    <w:p w14:paraId="0D7C436D">
      <w:pPr>
        <w:pStyle w:val="113"/>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五、工程中需对现实状况改动的，改动方案必须提前报基建后勤处及相关协管部门审定同意。未经同意，擅自施工的，责令其停止施工，并处以 1000 元以上的违约金，此产生的工期延误和经济损失由施工单位承担。 </w:t>
      </w:r>
    </w:p>
    <w:p w14:paraId="04F11E9B">
      <w:pPr>
        <w:pStyle w:val="113"/>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六、施工单位在校园内施工期间要自觉维护校内各种建筑和公共设施，未经允许不准移动或占用。确因需要占用校园的球场、道路、建筑物周围及楼道、走廊等公用场地及相关设施，必须到基建后勤处及相关协管部门办理批准手续。否则，将责令其限期整改，并处以1000 — 5000元的违约金。如不改正则令其停止施工，由此产生的工期延误和经济损失由施工单位承担。七、施工产生的建筑垃圾必须外运，不得倾倒在校园内。建筑垃圾原则上要求日产日清，如不能做到的， 则装袋后可暂时堆放在指定区域，并做覆盖处理，不得堆放在绿化带中，不得影响交通和消防通道。建筑垃圾自开始堆放之日起 5日内必须外运。否则每天按1000元违约金处理。在外运过程中，不得散落在校园内，严禁抛洒滴漏。施工结束后 5 日内必须将建筑垃圾等杂物及周围环境清理干净，否则处以1000-5000 元的违约金。如施工垃圾未外运，倾倒在校园内的，一经核实，处以 5000-10000 元的违约金。 </w:t>
      </w:r>
    </w:p>
    <w:p w14:paraId="29758AC2">
      <w:pPr>
        <w:pStyle w:val="113"/>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八、校内施工不允许无偿使用水、电。施工使用的水电，须经基建后勤处同意后安装计量表， 且按照使用的数量和施工用水电的价格计量收费，无法安装水电表计量的，按书面约定办法扣除施工水电费。否则责令其停止施工， 并处以 1000 元以上的违约金， 施工过程中由于操作不当导致水、电等设施损坏的，必须及时修复，并承担由此造成的一切损失，如发现私自接拉水电现象，责令恢复，并处以1000-5000元违约金。如不改正则令其停止施工，由此产生的工期延误和经济损失由施工单位承担。 </w:t>
      </w:r>
    </w:p>
    <w:p w14:paraId="3B13E6D6">
      <w:pPr>
        <w:pStyle w:val="113"/>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承诺单位： （公章） </w:t>
      </w:r>
    </w:p>
    <w:p w14:paraId="354EBEB9">
      <w:pPr>
        <w:pStyle w:val="113"/>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承诺单位法定代表人（签字）：          </w:t>
      </w:r>
    </w:p>
    <w:p w14:paraId="459353A3">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sectPr>
          <w:pgSz w:w="11906" w:h="16838"/>
          <w:pgMar w:top="1361" w:right="1134" w:bottom="1361" w:left="1134" w:header="851" w:footer="992" w:gutter="0"/>
          <w:pgNumType w:fmt="decimal"/>
          <w:cols w:space="720" w:num="1"/>
          <w:docGrid w:type="lines" w:linePitch="312" w:charSpace="0"/>
        </w:sectPr>
      </w:pP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 xml:space="preserve">年 </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 xml:space="preserve"> 月 </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 xml:space="preserve"> 日</w:t>
      </w:r>
    </w:p>
    <w:p w14:paraId="4F922311">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b w:val="0"/>
          <w:color w:val="000000"/>
          <w:sz w:val="21"/>
          <w:szCs w:val="21"/>
          <w:highlight w:val="none"/>
        </w:rPr>
      </w:pPr>
      <w:r>
        <w:rPr>
          <w:rFonts w:hint="eastAsia" w:ascii="宋体" w:hAnsi="宋体" w:eastAsia="宋体" w:cs="宋体"/>
          <w:b w:val="0"/>
          <w:color w:val="000000"/>
          <w:sz w:val="21"/>
          <w:szCs w:val="21"/>
          <w:highlight w:val="none"/>
        </w:rPr>
        <w:t>附件3：安全生产责任承诺书</w:t>
      </w:r>
      <w:bookmarkEnd w:id="186"/>
    </w:p>
    <w:p w14:paraId="52EFB4A6">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中国药科大学校内工程施工安全生产责任承诺书</w:t>
      </w:r>
    </w:p>
    <w:p w14:paraId="34AA7DB8">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为认真贯彻"安全第一、预防为主"的方针，确保施工生产的安全，按规定搞好安全防护措施，把安全施工落到实处，在各种经济承包中必须包括安全生产，做到讲效益必须讲安全，抓施工必须抓安全。因此，施工单位对本工程项目施工安全生产做出如下承诺：</w:t>
      </w:r>
    </w:p>
    <w:p w14:paraId="04ADE515">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1、严格安全管理，认真组织落实施工方案中的施工安全技术措施，现场有安全标志、色标、警示牌，做到文明施工。</w:t>
      </w:r>
    </w:p>
    <w:p w14:paraId="514094E4">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2、领导所属班组定期召开安全工作例会，认真开展每周一次安全日活动，对照施工安全检查表，经常检查生产现场的安全管理，认真查出事故隐患，制定各种安全技术措施，确保施工全过程的安全生产。</w:t>
      </w:r>
    </w:p>
    <w:p w14:paraId="224E45CE">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3、组织学习安全操作规程，并检查执行情况，对新工人必须进行安全教育，特别是劳动用工的管理和教育，教育工人遵章守纪和正确使用安全防范设施和防护用品，负责检查特殊作业人员是否有持证上岗。</w:t>
      </w:r>
    </w:p>
    <w:p w14:paraId="6BCA20C3">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4、督促指导班组严格按工艺规程和安全操作，制止违章指挥和冒险作业的行为。</w:t>
      </w:r>
    </w:p>
    <w:p w14:paraId="77CA8ADB">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5、对现场搭设的"二架一网"及安装的大型机械、电器设备（配合机管员）等安全防护装置，必须有技术交底的验收手续，方能使用。</w:t>
      </w:r>
    </w:p>
    <w:p w14:paraId="6837B2F6">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6、对工地安全隐患，由中国药科大学保卫处所发出隐患通知书必须签字，并按通知限期整改。</w:t>
      </w:r>
    </w:p>
    <w:p w14:paraId="2DE19120">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7、施工中发生工伤事故，尤其重大伤亡事故、重大未遂事故，后果由乙方负责。</w:t>
      </w:r>
    </w:p>
    <w:p w14:paraId="5CD3FAEF">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8、工地建立岗位责任制和防火措施，督促有关人员做好施工安全各项技术资料保存。</w:t>
      </w:r>
    </w:p>
    <w:p w14:paraId="356A985C">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9、按中国药科大学要求做好全体人员登记，并把人员登记册送交保卫处。</w:t>
      </w:r>
    </w:p>
    <w:p w14:paraId="7EF2F59C">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10、所有施工单位及人员必须遵守中国药科大学各项管理规定。</w:t>
      </w:r>
    </w:p>
    <w:p w14:paraId="10970821">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p>
    <w:p w14:paraId="5EA28F5A">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承诺单位：（公章）         </w:t>
      </w:r>
    </w:p>
    <w:p w14:paraId="7FF22ED8">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承诺单位负责人：                   </w:t>
      </w:r>
    </w:p>
    <w:p w14:paraId="452EC001">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 xml:space="preserve">年 </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 xml:space="preserve"> 月 </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 xml:space="preserve"> 日</w:t>
      </w:r>
    </w:p>
    <w:p w14:paraId="64209866">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rPr>
      </w:pPr>
    </w:p>
    <w:p w14:paraId="7CB8CE34">
      <w:pPr>
        <w:spacing w:line="360" w:lineRule="auto"/>
        <w:ind w:firstLine="330"/>
        <w:jc w:val="center"/>
        <w:rPr>
          <w:rFonts w:eastAsia="仿宋"/>
          <w:b/>
          <w:snapToGrid w:val="0"/>
          <w:sz w:val="36"/>
          <w:szCs w:val="36"/>
        </w:rPr>
      </w:pPr>
      <w:r>
        <w:rPr>
          <w:rFonts w:hint="eastAsia" w:ascii="宋体" w:hAnsi="宋体" w:eastAsia="宋体" w:cs="宋体"/>
        </w:rPr>
        <w:t xml:space="preserve">    </w:t>
      </w:r>
      <w:r>
        <w:rPr>
          <w:rFonts w:eastAsia="仿宋"/>
          <w:b/>
          <w:snapToGrid w:val="0"/>
          <w:sz w:val="36"/>
          <w:szCs w:val="36"/>
        </w:rPr>
        <w:br w:type="page"/>
      </w:r>
    </w:p>
    <w:p w14:paraId="58CB8EF6">
      <w:pPr>
        <w:spacing w:before="156" w:beforeLines="50" w:after="156" w:afterLines="50" w:line="400" w:lineRule="exact"/>
        <w:ind w:right="119"/>
        <w:jc w:val="center"/>
        <w:rPr>
          <w:b/>
          <w:snapToGrid w:val="0"/>
          <w:sz w:val="30"/>
          <w:szCs w:val="30"/>
        </w:rPr>
      </w:pPr>
      <w:r>
        <w:rPr>
          <w:rFonts w:hint="eastAsia"/>
          <w:b/>
          <w:snapToGrid w:val="0"/>
          <w:sz w:val="30"/>
          <w:szCs w:val="30"/>
        </w:rPr>
        <w:t>第六章  报价格式</w:t>
      </w:r>
    </w:p>
    <w:p w14:paraId="143846C4">
      <w:pPr>
        <w:pStyle w:val="3"/>
        <w:spacing w:before="156" w:beforeLines="50" w:after="156" w:afterLines="50" w:line="360" w:lineRule="auto"/>
        <w:rPr>
          <w:rFonts w:ascii="Times New Roman" w:hAnsi="Times New Roman"/>
          <w:b w:val="0"/>
          <w:sz w:val="28"/>
          <w:szCs w:val="28"/>
        </w:rPr>
      </w:pPr>
      <w:r>
        <w:rPr>
          <w:rFonts w:hint="eastAsia" w:ascii="Times New Roman" w:hAnsi="Times New Roman"/>
          <w:sz w:val="28"/>
          <w:szCs w:val="28"/>
        </w:rPr>
        <w:t>封面</w:t>
      </w:r>
      <w:bookmarkEnd w:id="2"/>
      <w:bookmarkEnd w:id="3"/>
    </w:p>
    <w:p w14:paraId="4DFF870C">
      <w:pPr>
        <w:jc w:val="center"/>
        <w:rPr>
          <w:rFonts w:eastAsia="黑体"/>
          <w:b/>
          <w:sz w:val="40"/>
        </w:rPr>
      </w:pPr>
    </w:p>
    <w:p w14:paraId="3EED7D1B">
      <w:pPr>
        <w:jc w:val="center"/>
        <w:rPr>
          <w:rFonts w:eastAsia="黑体"/>
          <w:b/>
          <w:sz w:val="40"/>
        </w:rPr>
      </w:pPr>
    </w:p>
    <w:p w14:paraId="5EECB9E3">
      <w:pPr>
        <w:jc w:val="center"/>
        <w:rPr>
          <w:sz w:val="18"/>
        </w:rPr>
      </w:pPr>
      <w:r>
        <w:rPr>
          <w:rFonts w:hint="eastAsia" w:cs="宋体"/>
          <w:b/>
          <w:sz w:val="48"/>
          <w:szCs w:val="44"/>
          <w:u w:val="single"/>
          <w:lang w:eastAsia="zh-CN"/>
        </w:rPr>
        <w:t>中国药科大学水环境治理项目工程勘测</w:t>
      </w:r>
      <w:r>
        <w:rPr>
          <w:rFonts w:hint="eastAsia" w:cs="宋体"/>
          <w:b/>
          <w:sz w:val="48"/>
          <w:szCs w:val="44"/>
          <w:u w:val="single"/>
        </w:rPr>
        <w:t>服务</w:t>
      </w:r>
    </w:p>
    <w:p w14:paraId="3AA43433">
      <w:pPr>
        <w:spacing w:line="400" w:lineRule="exact"/>
        <w:jc w:val="center"/>
      </w:pPr>
    </w:p>
    <w:p w14:paraId="15D0B8AD">
      <w:pPr>
        <w:spacing w:line="400" w:lineRule="exact"/>
        <w:jc w:val="center"/>
      </w:pPr>
    </w:p>
    <w:p w14:paraId="4873503C">
      <w:pPr>
        <w:adjustRightInd w:val="0"/>
        <w:snapToGrid w:val="0"/>
        <w:spacing w:line="1120" w:lineRule="exact"/>
        <w:ind w:right="-137"/>
        <w:jc w:val="center"/>
        <w:rPr>
          <w:b/>
          <w:snapToGrid w:val="0"/>
          <w:spacing w:val="200"/>
          <w:sz w:val="72"/>
        </w:rPr>
      </w:pPr>
      <w:r>
        <w:rPr>
          <w:rFonts w:hint="eastAsia"/>
          <w:b/>
          <w:snapToGrid w:val="0"/>
          <w:spacing w:val="200"/>
          <w:sz w:val="72"/>
          <w:lang w:eastAsia="zh-CN"/>
        </w:rPr>
        <w:t>询价</w:t>
      </w:r>
      <w:r>
        <w:rPr>
          <w:rFonts w:hint="eastAsia"/>
          <w:b/>
          <w:snapToGrid w:val="0"/>
          <w:spacing w:val="200"/>
          <w:sz w:val="72"/>
        </w:rPr>
        <w:t>书</w:t>
      </w:r>
    </w:p>
    <w:p w14:paraId="0AD9E11F">
      <w:pPr>
        <w:spacing w:line="360" w:lineRule="auto"/>
        <w:rPr>
          <w:sz w:val="24"/>
        </w:rPr>
      </w:pPr>
    </w:p>
    <w:p w14:paraId="639E1523">
      <w:pPr>
        <w:spacing w:line="360" w:lineRule="auto"/>
        <w:rPr>
          <w:sz w:val="24"/>
        </w:rPr>
      </w:pPr>
    </w:p>
    <w:p w14:paraId="429DC65E">
      <w:pPr>
        <w:spacing w:line="360" w:lineRule="auto"/>
        <w:rPr>
          <w:sz w:val="24"/>
        </w:rPr>
      </w:pPr>
    </w:p>
    <w:p w14:paraId="39CFD825">
      <w:pPr>
        <w:spacing w:line="360" w:lineRule="auto"/>
        <w:rPr>
          <w:sz w:val="24"/>
        </w:rPr>
      </w:pPr>
    </w:p>
    <w:p w14:paraId="75A3CEAB">
      <w:pPr>
        <w:spacing w:line="360" w:lineRule="auto"/>
        <w:rPr>
          <w:sz w:val="24"/>
        </w:rPr>
      </w:pPr>
    </w:p>
    <w:p w14:paraId="283C5E0C">
      <w:pPr>
        <w:spacing w:line="360" w:lineRule="auto"/>
        <w:rPr>
          <w:sz w:val="24"/>
        </w:rPr>
      </w:pPr>
    </w:p>
    <w:p w14:paraId="2EF0C9CD">
      <w:pPr>
        <w:spacing w:line="360" w:lineRule="auto"/>
        <w:rPr>
          <w:sz w:val="24"/>
        </w:rPr>
      </w:pPr>
    </w:p>
    <w:p w14:paraId="667A9656">
      <w:pPr>
        <w:spacing w:line="360" w:lineRule="auto"/>
        <w:rPr>
          <w:sz w:val="24"/>
        </w:rPr>
      </w:pPr>
    </w:p>
    <w:p w14:paraId="07E64B6B">
      <w:pPr>
        <w:spacing w:line="360" w:lineRule="auto"/>
        <w:rPr>
          <w:sz w:val="24"/>
        </w:rPr>
      </w:pPr>
    </w:p>
    <w:p w14:paraId="28E80A1C">
      <w:pPr>
        <w:spacing w:line="360" w:lineRule="auto"/>
        <w:rPr>
          <w:sz w:val="24"/>
        </w:rPr>
      </w:pPr>
    </w:p>
    <w:p w14:paraId="68D89D86">
      <w:pPr>
        <w:spacing w:line="360" w:lineRule="auto"/>
        <w:rPr>
          <w:sz w:val="24"/>
        </w:rPr>
      </w:pPr>
    </w:p>
    <w:p w14:paraId="59201736">
      <w:pPr>
        <w:spacing w:line="360" w:lineRule="auto"/>
        <w:rPr>
          <w:sz w:val="24"/>
        </w:rPr>
      </w:pPr>
    </w:p>
    <w:p w14:paraId="3F276449">
      <w:pPr>
        <w:spacing w:line="360" w:lineRule="auto"/>
        <w:ind w:firstLine="1187" w:firstLineChars="371"/>
        <w:rPr>
          <w:sz w:val="32"/>
          <w:szCs w:val="32"/>
        </w:rPr>
      </w:pPr>
      <w:r>
        <w:rPr>
          <w:rFonts w:hint="eastAsia"/>
          <w:sz w:val="32"/>
          <w:szCs w:val="32"/>
          <w:lang w:val="en-US" w:eastAsia="zh-CN"/>
        </w:rPr>
        <w:t>报价</w:t>
      </w:r>
      <w:r>
        <w:rPr>
          <w:rFonts w:hint="eastAsia"/>
          <w:sz w:val="32"/>
          <w:szCs w:val="32"/>
        </w:rPr>
        <w:t>人：</w:t>
      </w:r>
      <w:r>
        <w:rPr>
          <w:rFonts w:hint="eastAsia"/>
          <w:sz w:val="32"/>
          <w:szCs w:val="32"/>
          <w:u w:val="single"/>
        </w:rPr>
        <w:t xml:space="preserve">（单位名称并加盖公章）  </w:t>
      </w:r>
    </w:p>
    <w:p w14:paraId="653F0D0C">
      <w:pPr>
        <w:spacing w:line="360" w:lineRule="auto"/>
        <w:jc w:val="center"/>
        <w:rPr>
          <w:sz w:val="32"/>
          <w:szCs w:val="32"/>
        </w:rPr>
      </w:pPr>
      <w:r>
        <w:rPr>
          <w:rFonts w:hint="eastAsia"/>
          <w:sz w:val="32"/>
          <w:szCs w:val="32"/>
        </w:rPr>
        <w:t>二○二</w:t>
      </w:r>
      <w:r>
        <w:rPr>
          <w:rFonts w:hint="eastAsia"/>
          <w:sz w:val="32"/>
          <w:szCs w:val="32"/>
          <w:lang w:val="en-US" w:eastAsia="zh-CN"/>
        </w:rPr>
        <w:t>六</w:t>
      </w:r>
      <w:r>
        <w:rPr>
          <w:rFonts w:hint="eastAsia"/>
          <w:sz w:val="32"/>
          <w:szCs w:val="32"/>
        </w:rPr>
        <w:t>年</w:t>
      </w:r>
      <w:r>
        <w:rPr>
          <w:rFonts w:hint="eastAsia"/>
          <w:sz w:val="32"/>
          <w:szCs w:val="32"/>
          <w:lang w:val="en-US" w:eastAsia="zh-CN"/>
        </w:rPr>
        <w:t>一</w:t>
      </w:r>
      <w:r>
        <w:rPr>
          <w:rFonts w:hint="eastAsia"/>
          <w:sz w:val="32"/>
          <w:szCs w:val="32"/>
        </w:rPr>
        <w:t>月</w:t>
      </w:r>
      <w:bookmarkStart w:id="187" w:name="_Toc389489824"/>
      <w:bookmarkStart w:id="188" w:name="_Toc388949970"/>
      <w:bookmarkStart w:id="189" w:name="_Toc393830448"/>
      <w:bookmarkStart w:id="190" w:name="_Toc390613510"/>
      <w:bookmarkStart w:id="191" w:name="_Toc387235796"/>
      <w:bookmarkStart w:id="192" w:name="_Toc385508272"/>
      <w:r>
        <w:rPr>
          <w:sz w:val="32"/>
          <w:szCs w:val="32"/>
        </w:rPr>
        <w:br w:type="page"/>
      </w:r>
    </w:p>
    <w:p w14:paraId="3EE47EF8">
      <w:pPr>
        <w:spacing w:line="360" w:lineRule="auto"/>
        <w:jc w:val="center"/>
        <w:rPr>
          <w:b/>
          <w:sz w:val="44"/>
          <w:szCs w:val="44"/>
        </w:rPr>
      </w:pPr>
      <w:r>
        <w:rPr>
          <w:b/>
          <w:sz w:val="44"/>
          <w:szCs w:val="44"/>
        </w:rPr>
        <w:t>一</w:t>
      </w:r>
      <w:r>
        <w:rPr>
          <w:rFonts w:hint="eastAsia"/>
          <w:b/>
          <w:sz w:val="44"/>
          <w:szCs w:val="44"/>
        </w:rPr>
        <w:t>、</w:t>
      </w:r>
      <w:r>
        <w:rPr>
          <w:rFonts w:hint="eastAsia"/>
          <w:b/>
          <w:sz w:val="44"/>
          <w:szCs w:val="44"/>
          <w:lang w:eastAsia="zh-CN"/>
        </w:rPr>
        <w:t>询价</w:t>
      </w:r>
      <w:r>
        <w:rPr>
          <w:rFonts w:hint="eastAsia"/>
          <w:b/>
          <w:sz w:val="44"/>
          <w:szCs w:val="44"/>
        </w:rPr>
        <w:t>书</w:t>
      </w:r>
    </w:p>
    <w:p w14:paraId="5EE7C25D">
      <w:pPr>
        <w:spacing w:line="460" w:lineRule="exact"/>
        <w:rPr>
          <w:b/>
          <w:bCs/>
          <w:sz w:val="28"/>
          <w:szCs w:val="28"/>
          <w:u w:val="single"/>
        </w:rPr>
      </w:pPr>
    </w:p>
    <w:p w14:paraId="7C18548E">
      <w:pPr>
        <w:spacing w:line="360" w:lineRule="auto"/>
        <w:jc w:val="both"/>
        <w:rPr>
          <w:sz w:val="28"/>
          <w:szCs w:val="28"/>
        </w:rPr>
      </w:pPr>
      <w:r>
        <w:rPr>
          <w:rFonts w:hint="eastAsia"/>
          <w:b/>
          <w:bCs/>
          <w:sz w:val="28"/>
          <w:szCs w:val="28"/>
          <w:u w:val="single"/>
          <w:lang w:eastAsia="zh-CN"/>
        </w:rPr>
        <w:t>中国药科大学</w:t>
      </w:r>
      <w:r>
        <w:rPr>
          <w:rFonts w:hint="eastAsia"/>
          <w:sz w:val="28"/>
          <w:szCs w:val="28"/>
        </w:rPr>
        <w:t>：</w:t>
      </w:r>
    </w:p>
    <w:p w14:paraId="4C70C592">
      <w:pPr>
        <w:spacing w:line="360" w:lineRule="auto"/>
        <w:ind w:firstLine="560" w:firstLineChars="200"/>
        <w:jc w:val="both"/>
        <w:rPr>
          <w:sz w:val="28"/>
          <w:szCs w:val="28"/>
        </w:rPr>
      </w:pPr>
      <w:r>
        <w:rPr>
          <w:rFonts w:hint="eastAsia"/>
          <w:sz w:val="28"/>
          <w:szCs w:val="28"/>
        </w:rPr>
        <w:t xml:space="preserve">1. 根据已收到 </w:t>
      </w:r>
      <w:r>
        <w:rPr>
          <w:rFonts w:hint="eastAsia" w:eastAsia="仿宋"/>
          <w:b/>
          <w:sz w:val="28"/>
          <w:szCs w:val="28"/>
          <w:u w:val="single"/>
          <w:lang w:eastAsia="zh-CN"/>
        </w:rPr>
        <w:t>中国药科大学水环境治理项目工程勘测</w:t>
      </w:r>
      <w:r>
        <w:rPr>
          <w:rFonts w:hint="eastAsia" w:eastAsia="仿宋"/>
          <w:b/>
          <w:sz w:val="28"/>
          <w:szCs w:val="28"/>
          <w:u w:val="single"/>
        </w:rPr>
        <w:t xml:space="preserve">服务 </w:t>
      </w:r>
      <w:r>
        <w:rPr>
          <w:rFonts w:hint="eastAsia" w:eastAsia="仿宋"/>
          <w:bCs/>
          <w:sz w:val="28"/>
          <w:szCs w:val="28"/>
        </w:rPr>
        <w:t>的</w:t>
      </w:r>
      <w:r>
        <w:rPr>
          <w:rFonts w:hint="eastAsia" w:eastAsia="仿宋"/>
          <w:sz w:val="28"/>
          <w:szCs w:val="28"/>
          <w:lang w:eastAsia="zh-CN"/>
        </w:rPr>
        <w:t>询价</w:t>
      </w:r>
      <w:r>
        <w:rPr>
          <w:rFonts w:hint="eastAsia"/>
          <w:sz w:val="28"/>
          <w:szCs w:val="28"/>
        </w:rPr>
        <w:t>文件，我方接受</w:t>
      </w:r>
      <w:r>
        <w:rPr>
          <w:rFonts w:hint="eastAsia"/>
          <w:sz w:val="28"/>
          <w:szCs w:val="28"/>
          <w:lang w:eastAsia="zh-CN"/>
        </w:rPr>
        <w:t>询价</w:t>
      </w:r>
      <w:r>
        <w:rPr>
          <w:rFonts w:hint="eastAsia"/>
          <w:sz w:val="28"/>
          <w:szCs w:val="28"/>
        </w:rPr>
        <w:t>文件中的付款条件，我方愿以固定</w:t>
      </w:r>
      <w:r>
        <w:rPr>
          <w:rFonts w:hint="eastAsia"/>
          <w:sz w:val="28"/>
          <w:szCs w:val="28"/>
          <w:lang w:val="en-US" w:eastAsia="zh-CN"/>
        </w:rPr>
        <w:t>总</w:t>
      </w:r>
      <w:r>
        <w:rPr>
          <w:rFonts w:hint="eastAsia"/>
          <w:sz w:val="28"/>
          <w:szCs w:val="28"/>
        </w:rPr>
        <w:t>价人民币</w:t>
      </w:r>
      <w:r>
        <w:rPr>
          <w:sz w:val="28"/>
          <w:szCs w:val="28"/>
        </w:rPr>
        <w:t xml:space="preserve"> </w:t>
      </w:r>
      <w:r>
        <w:rPr>
          <w:rFonts w:hint="eastAsia"/>
          <w:sz w:val="28"/>
          <w:szCs w:val="28"/>
        </w:rPr>
        <w:t>大写）</w:t>
      </w:r>
      <w:r>
        <w:rPr>
          <w:sz w:val="28"/>
          <w:szCs w:val="28"/>
          <w:u w:val="single"/>
        </w:rPr>
        <w:t xml:space="preserve">    </w:t>
      </w:r>
      <w:r>
        <w:rPr>
          <w:sz w:val="28"/>
          <w:szCs w:val="28"/>
        </w:rPr>
        <w:t xml:space="preserve"> (RMB )</w:t>
      </w:r>
      <w:r>
        <w:rPr>
          <w:rFonts w:hint="eastAsia"/>
          <w:sz w:val="28"/>
          <w:szCs w:val="28"/>
        </w:rPr>
        <w:t xml:space="preserve">元 </w:t>
      </w:r>
      <w:r>
        <w:rPr>
          <w:sz w:val="28"/>
          <w:szCs w:val="28"/>
          <w:u w:val="single"/>
        </w:rPr>
        <w:t xml:space="preserve">        </w:t>
      </w:r>
      <w:r>
        <w:rPr>
          <w:rFonts w:hint="eastAsia"/>
          <w:sz w:val="28"/>
          <w:szCs w:val="28"/>
        </w:rPr>
        <w:t xml:space="preserve"> 元，按</w:t>
      </w:r>
      <w:r>
        <w:rPr>
          <w:rFonts w:hint="eastAsia"/>
          <w:sz w:val="28"/>
          <w:szCs w:val="28"/>
          <w:lang w:eastAsia="zh-CN"/>
        </w:rPr>
        <w:t>询价</w:t>
      </w:r>
      <w:r>
        <w:rPr>
          <w:rFonts w:hint="eastAsia"/>
          <w:sz w:val="28"/>
          <w:szCs w:val="28"/>
        </w:rPr>
        <w:t>文件要求完成全部工作内容。</w:t>
      </w:r>
    </w:p>
    <w:p w14:paraId="1D5840CB">
      <w:pPr>
        <w:spacing w:line="360" w:lineRule="auto"/>
        <w:ind w:firstLine="560" w:firstLineChars="200"/>
        <w:jc w:val="both"/>
        <w:rPr>
          <w:sz w:val="28"/>
          <w:szCs w:val="28"/>
        </w:rPr>
      </w:pPr>
      <w:r>
        <w:rPr>
          <w:rFonts w:hint="eastAsia"/>
          <w:sz w:val="28"/>
          <w:szCs w:val="28"/>
        </w:rPr>
        <w:t>2. 一旦我方成为成交供应商，我方保证在</w:t>
      </w:r>
      <w:r>
        <w:rPr>
          <w:rFonts w:hint="eastAsia"/>
          <w:sz w:val="28"/>
          <w:szCs w:val="28"/>
          <w:u w:val="single"/>
        </w:rPr>
        <w:t xml:space="preserve">       </w:t>
      </w:r>
      <w:r>
        <w:rPr>
          <w:rFonts w:hint="eastAsia"/>
          <w:sz w:val="28"/>
          <w:szCs w:val="28"/>
        </w:rPr>
        <w:t>日历天内完成合同约定的全部工作内容</w:t>
      </w:r>
      <w:r>
        <w:rPr>
          <w:sz w:val="28"/>
          <w:szCs w:val="28"/>
        </w:rPr>
        <w:t>。</w:t>
      </w:r>
    </w:p>
    <w:p w14:paraId="5DBA5B8D">
      <w:pPr>
        <w:pStyle w:val="21"/>
        <w:adjustRightInd w:val="0"/>
        <w:snapToGrid w:val="0"/>
        <w:spacing w:line="360" w:lineRule="auto"/>
        <w:ind w:left="-2" w:leftChars="-1" w:firstLine="560" w:firstLineChars="200"/>
        <w:rPr>
          <w:rFonts w:ascii="Times New Roman" w:hAnsi="Times New Roman"/>
          <w:sz w:val="28"/>
          <w:szCs w:val="28"/>
        </w:rPr>
      </w:pPr>
      <w:r>
        <w:rPr>
          <w:rFonts w:hint="eastAsia" w:ascii="Times New Roman" w:hAnsi="Times New Roman"/>
          <w:sz w:val="28"/>
          <w:szCs w:val="28"/>
        </w:rPr>
        <w:t>3. 如果我方成为成交供应商，将派出</w:t>
      </w:r>
      <w:r>
        <w:rPr>
          <w:rFonts w:hint="eastAsia" w:ascii="Times New Roman" w:hAnsi="Times New Roman"/>
          <w:sz w:val="28"/>
          <w:szCs w:val="28"/>
          <w:u w:val="single"/>
        </w:rPr>
        <w:t xml:space="preserve">          </w:t>
      </w:r>
      <w:r>
        <w:rPr>
          <w:rFonts w:hint="eastAsia" w:ascii="Times New Roman" w:hAnsi="Times New Roman"/>
          <w:sz w:val="28"/>
          <w:szCs w:val="28"/>
        </w:rPr>
        <w:t>作为该项目的项目负责人。</w:t>
      </w:r>
    </w:p>
    <w:p w14:paraId="515705B7">
      <w:pPr>
        <w:pStyle w:val="21"/>
        <w:spacing w:line="360" w:lineRule="auto"/>
        <w:ind w:firstLine="560" w:firstLineChars="200"/>
        <w:rPr>
          <w:rFonts w:ascii="Times New Roman" w:hAnsi="Times New Roman"/>
          <w:sz w:val="28"/>
          <w:szCs w:val="28"/>
        </w:rPr>
      </w:pPr>
    </w:p>
    <w:p w14:paraId="128320FD">
      <w:pPr>
        <w:pStyle w:val="21"/>
        <w:spacing w:line="360" w:lineRule="auto"/>
        <w:ind w:firstLine="560" w:firstLineChars="200"/>
        <w:rPr>
          <w:rFonts w:ascii="Times New Roman" w:hAnsi="Times New Roman"/>
          <w:sz w:val="28"/>
          <w:szCs w:val="28"/>
        </w:rPr>
      </w:pPr>
      <w:r>
        <w:rPr>
          <w:rFonts w:hint="eastAsia" w:ascii="Times New Roman" w:hAnsi="Times New Roman"/>
          <w:sz w:val="28"/>
          <w:szCs w:val="28"/>
          <w:lang w:eastAsia="zh-CN"/>
        </w:rPr>
        <w:t>询价</w:t>
      </w:r>
      <w:r>
        <w:rPr>
          <w:rFonts w:hint="eastAsia" w:ascii="Times New Roman" w:hAnsi="Times New Roman"/>
          <w:sz w:val="28"/>
          <w:szCs w:val="28"/>
        </w:rPr>
        <w:t>人：(盖章)</w:t>
      </w:r>
    </w:p>
    <w:p w14:paraId="4B9545C7">
      <w:pPr>
        <w:pStyle w:val="21"/>
        <w:spacing w:line="360" w:lineRule="auto"/>
        <w:ind w:firstLine="560" w:firstLineChars="200"/>
        <w:rPr>
          <w:rFonts w:ascii="Times New Roman" w:hAnsi="Times New Roman"/>
          <w:sz w:val="28"/>
          <w:szCs w:val="28"/>
        </w:rPr>
      </w:pPr>
    </w:p>
    <w:p w14:paraId="38A2C227">
      <w:pPr>
        <w:pStyle w:val="21"/>
        <w:spacing w:line="360" w:lineRule="auto"/>
        <w:ind w:firstLine="560" w:firstLineChars="200"/>
        <w:rPr>
          <w:rFonts w:ascii="Times New Roman" w:hAnsi="Times New Roman"/>
          <w:sz w:val="28"/>
          <w:szCs w:val="28"/>
        </w:rPr>
      </w:pPr>
      <w:r>
        <w:rPr>
          <w:rFonts w:hint="eastAsia" w:ascii="Times New Roman" w:hAnsi="Times New Roman"/>
          <w:sz w:val="28"/>
          <w:szCs w:val="28"/>
        </w:rPr>
        <w:t>法定代表人或委托代理人：(盖章或签字)</w:t>
      </w:r>
    </w:p>
    <w:p w14:paraId="56FF2A5C">
      <w:pPr>
        <w:pStyle w:val="21"/>
        <w:spacing w:line="360" w:lineRule="auto"/>
        <w:ind w:firstLine="560" w:firstLineChars="200"/>
        <w:rPr>
          <w:rFonts w:ascii="Times New Roman" w:hAnsi="Times New Roman"/>
          <w:sz w:val="28"/>
          <w:szCs w:val="28"/>
        </w:rPr>
      </w:pPr>
    </w:p>
    <w:p w14:paraId="1608DD3F">
      <w:pPr>
        <w:pStyle w:val="21"/>
        <w:spacing w:line="360" w:lineRule="auto"/>
        <w:ind w:firstLine="560" w:firstLineChars="200"/>
        <w:rPr>
          <w:rFonts w:ascii="Times New Roman" w:hAnsi="Times New Roman"/>
          <w:sz w:val="28"/>
          <w:szCs w:val="28"/>
        </w:rPr>
      </w:pPr>
      <w:r>
        <w:rPr>
          <w:rFonts w:hint="eastAsia" w:ascii="Times New Roman" w:hAnsi="Times New Roman"/>
          <w:sz w:val="28"/>
          <w:szCs w:val="28"/>
        </w:rPr>
        <w:t>日期： 202</w:t>
      </w:r>
      <w:r>
        <w:rPr>
          <w:rFonts w:hint="eastAsia" w:ascii="Times New Roman" w:hAnsi="Times New Roman"/>
          <w:sz w:val="28"/>
          <w:szCs w:val="28"/>
          <w:lang w:val="en-US" w:eastAsia="zh-CN"/>
        </w:rPr>
        <w:t>6</w:t>
      </w:r>
      <w:r>
        <w:rPr>
          <w:rFonts w:hint="eastAsia" w:ascii="Times New Roman" w:hAnsi="Times New Roman"/>
          <w:sz w:val="28"/>
          <w:szCs w:val="28"/>
        </w:rPr>
        <w:t>年</w:t>
      </w:r>
      <w:r>
        <w:rPr>
          <w:rFonts w:hint="eastAsia" w:ascii="Times New Roman" w:hAnsi="Times New Roman"/>
          <w:sz w:val="28"/>
          <w:szCs w:val="28"/>
          <w:lang w:val="en-US" w:eastAsia="zh-CN"/>
        </w:rPr>
        <w:t>1</w:t>
      </w:r>
      <w:r>
        <w:rPr>
          <w:rFonts w:hint="eastAsia" w:ascii="Times New Roman" w:hAnsi="Times New Roman"/>
          <w:sz w:val="28"/>
          <w:szCs w:val="28"/>
        </w:rPr>
        <w:t>月   日</w:t>
      </w:r>
    </w:p>
    <w:p w14:paraId="6D1C7AD9">
      <w:pPr>
        <w:pStyle w:val="21"/>
        <w:adjustRightInd w:val="0"/>
        <w:snapToGrid w:val="0"/>
        <w:spacing w:line="460" w:lineRule="exact"/>
        <w:rPr>
          <w:rFonts w:ascii="Times New Roman" w:hAnsi="Times New Roman"/>
          <w:sz w:val="28"/>
          <w:szCs w:val="28"/>
        </w:rPr>
      </w:pPr>
    </w:p>
    <w:p w14:paraId="78A1C32D">
      <w:pPr>
        <w:pStyle w:val="21"/>
        <w:adjustRightInd w:val="0"/>
        <w:snapToGrid w:val="0"/>
        <w:spacing w:line="460" w:lineRule="exact"/>
        <w:rPr>
          <w:rFonts w:ascii="Times New Roman" w:hAnsi="Times New Roman"/>
          <w:sz w:val="28"/>
          <w:szCs w:val="28"/>
        </w:rPr>
        <w:sectPr>
          <w:footerReference r:id="rId8" w:type="default"/>
          <w:pgSz w:w="11906" w:h="16838"/>
          <w:pgMar w:top="1440" w:right="1800" w:bottom="1440" w:left="1800" w:header="851" w:footer="992" w:gutter="0"/>
          <w:cols w:space="425" w:num="1"/>
          <w:docGrid w:type="lines" w:linePitch="312" w:charSpace="0"/>
        </w:sectPr>
      </w:pPr>
    </w:p>
    <w:bookmarkEnd w:id="187"/>
    <w:bookmarkEnd w:id="188"/>
    <w:bookmarkEnd w:id="189"/>
    <w:bookmarkEnd w:id="190"/>
    <w:bookmarkEnd w:id="191"/>
    <w:bookmarkEnd w:id="192"/>
    <w:p w14:paraId="70C9885C">
      <w:pPr>
        <w:spacing w:line="360" w:lineRule="auto"/>
        <w:jc w:val="center"/>
        <w:rPr>
          <w:b/>
          <w:sz w:val="44"/>
          <w:szCs w:val="44"/>
        </w:rPr>
      </w:pPr>
      <w:r>
        <w:rPr>
          <w:b/>
          <w:sz w:val="44"/>
          <w:szCs w:val="44"/>
        </w:rPr>
        <w:t>二</w:t>
      </w:r>
      <w:r>
        <w:rPr>
          <w:rFonts w:hint="eastAsia"/>
          <w:b/>
          <w:sz w:val="44"/>
          <w:szCs w:val="44"/>
        </w:rPr>
        <w:t>、法定代表人授权委托书</w:t>
      </w:r>
    </w:p>
    <w:p w14:paraId="7E812ABA">
      <w:pPr>
        <w:pStyle w:val="21"/>
        <w:spacing w:line="360" w:lineRule="auto"/>
        <w:ind w:firstLine="420" w:firstLineChars="200"/>
        <w:rPr>
          <w:rFonts w:ascii="Times New Roman" w:hAnsi="Times New Roman"/>
        </w:rPr>
      </w:pPr>
    </w:p>
    <w:p w14:paraId="3C5124C5">
      <w:pPr>
        <w:pStyle w:val="21"/>
        <w:spacing w:line="360" w:lineRule="auto"/>
        <w:ind w:firstLine="560" w:firstLineChars="200"/>
        <w:rPr>
          <w:rFonts w:ascii="Times New Roman" w:hAnsi="Times New Roman"/>
          <w:sz w:val="28"/>
          <w:szCs w:val="28"/>
        </w:rPr>
      </w:pPr>
      <w:r>
        <w:rPr>
          <w:rFonts w:hint="eastAsia" w:ascii="Times New Roman" w:hAnsi="Times New Roman"/>
          <w:sz w:val="28"/>
          <w:szCs w:val="28"/>
        </w:rPr>
        <w:t>本授权委托书声明：我</w:t>
      </w:r>
      <w:r>
        <w:rPr>
          <w:rFonts w:hint="eastAsia" w:ascii="Times New Roman" w:hAnsi="Times New Roman"/>
          <w:sz w:val="28"/>
          <w:szCs w:val="28"/>
          <w:u w:val="single"/>
        </w:rPr>
        <w:t xml:space="preserve">       </w:t>
      </w:r>
      <w:r>
        <w:rPr>
          <w:rFonts w:hint="eastAsia" w:ascii="Times New Roman" w:hAnsi="Times New Roman"/>
          <w:sz w:val="28"/>
          <w:szCs w:val="28"/>
        </w:rPr>
        <w:t xml:space="preserve"> (姓名)系</w:t>
      </w:r>
      <w:r>
        <w:rPr>
          <w:rFonts w:hint="eastAsia" w:ascii="Times New Roman" w:hAnsi="Times New Roman"/>
          <w:sz w:val="28"/>
          <w:szCs w:val="28"/>
          <w:u w:val="single"/>
        </w:rPr>
        <w:t xml:space="preserve">            </w:t>
      </w:r>
      <w:r>
        <w:rPr>
          <w:rFonts w:hint="eastAsia" w:ascii="Times New Roman" w:hAnsi="Times New Roman"/>
          <w:sz w:val="28"/>
          <w:szCs w:val="28"/>
        </w:rPr>
        <w:t>(</w:t>
      </w:r>
      <w:r>
        <w:rPr>
          <w:rFonts w:hint="eastAsia" w:ascii="Times New Roman" w:hAnsi="Times New Roman"/>
          <w:sz w:val="28"/>
          <w:szCs w:val="28"/>
          <w:lang w:eastAsia="zh-CN"/>
        </w:rPr>
        <w:t>询价</w:t>
      </w:r>
      <w:r>
        <w:rPr>
          <w:rFonts w:hint="eastAsia" w:ascii="Times New Roman" w:hAnsi="Times New Roman"/>
          <w:sz w:val="28"/>
          <w:szCs w:val="28"/>
        </w:rPr>
        <w:t xml:space="preserve">人名称)的法定代表人，现授权委托 </w:t>
      </w:r>
      <w:r>
        <w:rPr>
          <w:rFonts w:hint="eastAsia" w:ascii="Times New Roman" w:hAnsi="Times New Roman"/>
          <w:sz w:val="28"/>
          <w:szCs w:val="28"/>
          <w:u w:val="single"/>
        </w:rPr>
        <w:t xml:space="preserve">        </w:t>
      </w:r>
      <w:r>
        <w:rPr>
          <w:rFonts w:hint="eastAsia" w:ascii="Times New Roman" w:hAnsi="Times New Roman"/>
          <w:sz w:val="28"/>
          <w:szCs w:val="28"/>
        </w:rPr>
        <w:t>（单位名称）的</w:t>
      </w:r>
      <w:r>
        <w:rPr>
          <w:rFonts w:hint="eastAsia" w:ascii="Times New Roman" w:hAnsi="Times New Roman"/>
          <w:sz w:val="28"/>
          <w:szCs w:val="28"/>
          <w:u w:val="single"/>
        </w:rPr>
        <w:t xml:space="preserve">    </w:t>
      </w:r>
      <w:r>
        <w:rPr>
          <w:rFonts w:hint="eastAsia" w:ascii="Times New Roman" w:hAnsi="Times New Roman"/>
          <w:sz w:val="28"/>
          <w:szCs w:val="28"/>
        </w:rPr>
        <w:t>(姓名)为我公司代理人，以本公司的名义参加</w:t>
      </w:r>
      <w:r>
        <w:rPr>
          <w:rFonts w:hint="eastAsia" w:ascii="Times New Roman" w:hAnsi="Times New Roman" w:eastAsia="仿宋"/>
          <w:b/>
          <w:sz w:val="28"/>
          <w:szCs w:val="28"/>
          <w:u w:val="single"/>
          <w:lang w:eastAsia="zh-CN"/>
        </w:rPr>
        <w:t>中国药科大学水环境治理项目工程勘测</w:t>
      </w:r>
      <w:r>
        <w:rPr>
          <w:rFonts w:hint="eastAsia" w:ascii="Times New Roman" w:hAnsi="Times New Roman" w:eastAsia="仿宋"/>
          <w:b/>
          <w:sz w:val="28"/>
          <w:szCs w:val="28"/>
          <w:u w:val="single"/>
        </w:rPr>
        <w:t>服务</w:t>
      </w:r>
      <w:r>
        <w:rPr>
          <w:rFonts w:hint="eastAsia" w:ascii="Times New Roman" w:hAnsi="Times New Roman"/>
          <w:sz w:val="28"/>
          <w:szCs w:val="28"/>
        </w:rPr>
        <w:t>的</w:t>
      </w:r>
      <w:r>
        <w:rPr>
          <w:rFonts w:hint="eastAsia" w:ascii="Times New Roman" w:hAnsi="Times New Roman"/>
          <w:sz w:val="28"/>
          <w:szCs w:val="28"/>
          <w:lang w:eastAsia="zh-CN"/>
        </w:rPr>
        <w:t>询价</w:t>
      </w:r>
      <w:r>
        <w:rPr>
          <w:rFonts w:hint="eastAsia" w:ascii="Times New Roman" w:hAnsi="Times New Roman"/>
          <w:sz w:val="28"/>
          <w:szCs w:val="28"/>
        </w:rPr>
        <w:t>活动。</w:t>
      </w:r>
    </w:p>
    <w:p w14:paraId="0FFC7582">
      <w:pPr>
        <w:spacing w:line="360" w:lineRule="auto"/>
        <w:ind w:firstLine="560" w:firstLineChars="200"/>
        <w:jc w:val="both"/>
        <w:rPr>
          <w:sz w:val="28"/>
          <w:szCs w:val="28"/>
        </w:rPr>
      </w:pPr>
      <w:r>
        <w:rPr>
          <w:rFonts w:hint="eastAsia"/>
          <w:sz w:val="28"/>
          <w:szCs w:val="28"/>
        </w:rPr>
        <w:t>该授权代理人在上述</w:t>
      </w:r>
      <w:r>
        <w:rPr>
          <w:rFonts w:hint="eastAsia"/>
          <w:sz w:val="28"/>
          <w:szCs w:val="28"/>
          <w:lang w:eastAsia="zh-CN"/>
        </w:rPr>
        <w:t>询价</w:t>
      </w:r>
      <w:r>
        <w:rPr>
          <w:rFonts w:hint="eastAsia"/>
          <w:sz w:val="28"/>
          <w:szCs w:val="28"/>
        </w:rPr>
        <w:t>活动中在报价、合同谈判、签约等过程中签署的一切文件和处理与之有关的一切事务，本人均予承认。</w:t>
      </w:r>
    </w:p>
    <w:p w14:paraId="6334AAD5">
      <w:pPr>
        <w:spacing w:line="360" w:lineRule="auto"/>
        <w:ind w:firstLine="560" w:firstLineChars="200"/>
        <w:jc w:val="both"/>
        <w:rPr>
          <w:sz w:val="28"/>
          <w:szCs w:val="28"/>
        </w:rPr>
      </w:pPr>
      <w:r>
        <w:rPr>
          <w:rFonts w:hint="eastAsia"/>
          <w:sz w:val="28"/>
          <w:szCs w:val="28"/>
        </w:rPr>
        <w:t>代理人无转委权。特此委托。</w:t>
      </w:r>
    </w:p>
    <w:p w14:paraId="768A8677">
      <w:pPr>
        <w:spacing w:line="360" w:lineRule="auto"/>
        <w:ind w:firstLine="560" w:firstLineChars="200"/>
        <w:jc w:val="both"/>
        <w:rPr>
          <w:sz w:val="28"/>
          <w:szCs w:val="28"/>
        </w:rPr>
      </w:pPr>
    </w:p>
    <w:p w14:paraId="3B55824F">
      <w:pPr>
        <w:spacing w:line="360" w:lineRule="auto"/>
        <w:ind w:firstLine="560" w:firstLineChars="200"/>
        <w:jc w:val="both"/>
        <w:rPr>
          <w:sz w:val="28"/>
          <w:szCs w:val="28"/>
        </w:rPr>
      </w:pPr>
      <w:r>
        <w:rPr>
          <w:rFonts w:hint="eastAsia"/>
          <w:sz w:val="28"/>
          <w:szCs w:val="28"/>
        </w:rPr>
        <w:t>附：法定代表人身份证（复印件）：</w:t>
      </w:r>
    </w:p>
    <w:p w14:paraId="5A74ECEF">
      <w:pPr>
        <w:spacing w:line="360" w:lineRule="auto"/>
        <w:ind w:firstLine="560" w:firstLineChars="200"/>
        <w:jc w:val="both"/>
        <w:rPr>
          <w:sz w:val="28"/>
          <w:szCs w:val="28"/>
        </w:rPr>
      </w:pPr>
      <w:r>
        <w:rPr>
          <w:rFonts w:hint="eastAsia"/>
          <w:sz w:val="28"/>
          <w:szCs w:val="28"/>
        </w:rPr>
        <w:t>代理人身份证（复印件）。</w:t>
      </w:r>
    </w:p>
    <w:p w14:paraId="52B27DAA">
      <w:pPr>
        <w:spacing w:line="360" w:lineRule="auto"/>
        <w:ind w:firstLine="560" w:firstLineChars="200"/>
        <w:jc w:val="both"/>
        <w:rPr>
          <w:sz w:val="28"/>
          <w:szCs w:val="28"/>
        </w:rPr>
      </w:pPr>
    </w:p>
    <w:p w14:paraId="248BD1BB">
      <w:pPr>
        <w:spacing w:line="360" w:lineRule="auto"/>
        <w:ind w:firstLine="560" w:firstLineChars="200"/>
        <w:jc w:val="both"/>
        <w:rPr>
          <w:sz w:val="28"/>
          <w:szCs w:val="28"/>
          <w:u w:val="single"/>
        </w:rPr>
      </w:pPr>
      <w:r>
        <w:rPr>
          <w:rFonts w:hint="eastAsia"/>
          <w:sz w:val="28"/>
          <w:szCs w:val="28"/>
        </w:rPr>
        <w:t>法定代表人（签字或盖章）：</w:t>
      </w:r>
      <w:r>
        <w:rPr>
          <w:rFonts w:hint="eastAsia"/>
          <w:sz w:val="28"/>
          <w:szCs w:val="28"/>
          <w:u w:val="single"/>
        </w:rPr>
        <w:t xml:space="preserve">             </w:t>
      </w:r>
    </w:p>
    <w:p w14:paraId="22F9A6C9">
      <w:pPr>
        <w:pStyle w:val="21"/>
        <w:spacing w:line="360" w:lineRule="auto"/>
        <w:ind w:firstLine="560" w:firstLineChars="200"/>
        <w:rPr>
          <w:rFonts w:ascii="Times New Roman" w:hAnsi="Times New Roman"/>
          <w:sz w:val="28"/>
          <w:szCs w:val="28"/>
        </w:rPr>
      </w:pPr>
    </w:p>
    <w:p w14:paraId="5E803B2B">
      <w:pPr>
        <w:pStyle w:val="21"/>
        <w:spacing w:line="360" w:lineRule="auto"/>
        <w:ind w:firstLine="560" w:firstLineChars="200"/>
        <w:rPr>
          <w:rFonts w:ascii="Times New Roman" w:hAnsi="Times New Roman"/>
          <w:sz w:val="28"/>
          <w:szCs w:val="28"/>
          <w:u w:val="single"/>
        </w:rPr>
      </w:pPr>
      <w:r>
        <w:rPr>
          <w:rFonts w:hint="eastAsia" w:ascii="Times New Roman" w:hAnsi="Times New Roman"/>
          <w:sz w:val="28"/>
          <w:szCs w:val="28"/>
          <w:lang w:eastAsia="zh-CN"/>
        </w:rPr>
        <w:t>询价</w:t>
      </w:r>
      <w:r>
        <w:rPr>
          <w:rFonts w:hint="eastAsia" w:ascii="Times New Roman" w:hAnsi="Times New Roman"/>
          <w:sz w:val="28"/>
          <w:szCs w:val="28"/>
        </w:rPr>
        <w:t>人：(盖章)</w:t>
      </w:r>
      <w:r>
        <w:rPr>
          <w:rFonts w:hint="eastAsia" w:ascii="Times New Roman" w:hAnsi="Times New Roman"/>
          <w:sz w:val="28"/>
          <w:szCs w:val="28"/>
          <w:u w:val="single"/>
        </w:rPr>
        <w:t xml:space="preserve">                       </w:t>
      </w:r>
    </w:p>
    <w:p w14:paraId="786ACBC4">
      <w:pPr>
        <w:pStyle w:val="21"/>
        <w:spacing w:line="360" w:lineRule="auto"/>
        <w:ind w:firstLine="560" w:firstLineChars="200"/>
        <w:rPr>
          <w:rFonts w:ascii="Times New Roman" w:hAnsi="Times New Roman"/>
          <w:sz w:val="28"/>
          <w:szCs w:val="28"/>
        </w:rPr>
      </w:pPr>
    </w:p>
    <w:p w14:paraId="341814AA">
      <w:pPr>
        <w:pStyle w:val="21"/>
        <w:spacing w:line="360" w:lineRule="auto"/>
        <w:ind w:firstLine="560" w:firstLineChars="200"/>
        <w:rPr>
          <w:rFonts w:ascii="Times New Roman" w:hAnsi="Times New Roman"/>
          <w:sz w:val="28"/>
          <w:szCs w:val="28"/>
        </w:rPr>
      </w:pPr>
      <w:r>
        <w:rPr>
          <w:rFonts w:hint="eastAsia" w:ascii="Times New Roman" w:hAnsi="Times New Roman"/>
          <w:sz w:val="28"/>
          <w:szCs w:val="28"/>
        </w:rPr>
        <w:t>日期：202</w:t>
      </w:r>
      <w:r>
        <w:rPr>
          <w:rFonts w:hint="eastAsia" w:ascii="Times New Roman" w:hAnsi="Times New Roman"/>
          <w:sz w:val="28"/>
          <w:szCs w:val="28"/>
          <w:lang w:val="en-US" w:eastAsia="zh-CN"/>
        </w:rPr>
        <w:t>6</w:t>
      </w:r>
      <w:r>
        <w:rPr>
          <w:rFonts w:hint="eastAsia" w:ascii="Times New Roman" w:hAnsi="Times New Roman"/>
          <w:sz w:val="28"/>
          <w:szCs w:val="28"/>
        </w:rPr>
        <w:t>年</w:t>
      </w:r>
      <w:r>
        <w:rPr>
          <w:rFonts w:hint="eastAsia" w:ascii="Times New Roman" w:hAnsi="Times New Roman"/>
          <w:sz w:val="28"/>
          <w:szCs w:val="28"/>
          <w:lang w:val="en-US" w:eastAsia="zh-CN"/>
        </w:rPr>
        <w:t>1</w:t>
      </w:r>
      <w:r>
        <w:rPr>
          <w:rFonts w:hint="eastAsia" w:ascii="Times New Roman" w:hAnsi="Times New Roman"/>
          <w:sz w:val="28"/>
          <w:szCs w:val="28"/>
        </w:rPr>
        <w:t>月   日</w:t>
      </w:r>
    </w:p>
    <w:p w14:paraId="1ADD9E58">
      <w:pPr>
        <w:pStyle w:val="21"/>
        <w:spacing w:line="360" w:lineRule="auto"/>
        <w:ind w:firstLine="560" w:firstLineChars="200"/>
        <w:rPr>
          <w:rFonts w:ascii="Times New Roman" w:hAnsi="Times New Roman"/>
          <w:sz w:val="28"/>
          <w:szCs w:val="28"/>
        </w:rPr>
      </w:pPr>
    </w:p>
    <w:p w14:paraId="43104E9D">
      <w:pPr>
        <w:pStyle w:val="21"/>
        <w:spacing w:line="360" w:lineRule="auto"/>
        <w:ind w:firstLine="560" w:firstLineChars="200"/>
        <w:rPr>
          <w:rFonts w:ascii="Times New Roman" w:hAnsi="Times New Roman"/>
          <w:sz w:val="28"/>
          <w:szCs w:val="28"/>
        </w:rPr>
      </w:pPr>
      <w:r>
        <w:rPr>
          <w:rFonts w:hint="eastAsia" w:ascii="Times New Roman" w:hAnsi="Times New Roman"/>
          <w:sz w:val="28"/>
          <w:szCs w:val="28"/>
        </w:rPr>
        <w:t>代理人电话：</w:t>
      </w:r>
    </w:p>
    <w:p w14:paraId="63A4C329">
      <w:pPr>
        <w:spacing w:line="360" w:lineRule="auto"/>
        <w:ind w:firstLine="723" w:firstLineChars="200"/>
        <w:jc w:val="both"/>
        <w:rPr>
          <w:b/>
          <w:sz w:val="36"/>
          <w:szCs w:val="36"/>
        </w:rPr>
      </w:pPr>
    </w:p>
    <w:p w14:paraId="42DFEBD6">
      <w:pPr>
        <w:spacing w:line="480" w:lineRule="exact"/>
        <w:jc w:val="center"/>
        <w:rPr>
          <w:b/>
          <w:sz w:val="36"/>
          <w:szCs w:val="36"/>
        </w:rPr>
      </w:pPr>
    </w:p>
    <w:p w14:paraId="236758D2">
      <w:pPr>
        <w:spacing w:line="480" w:lineRule="exact"/>
        <w:jc w:val="center"/>
        <w:rPr>
          <w:b/>
          <w:sz w:val="36"/>
          <w:szCs w:val="36"/>
        </w:rPr>
        <w:sectPr>
          <w:pgSz w:w="11907" w:h="16840"/>
          <w:pgMar w:top="1440" w:right="1800" w:bottom="1440" w:left="1800" w:header="567" w:footer="1009" w:gutter="0"/>
          <w:cols w:space="720" w:num="1"/>
          <w:titlePg/>
          <w:docGrid w:linePitch="272" w:charSpace="0"/>
        </w:sectPr>
      </w:pPr>
    </w:p>
    <w:p w14:paraId="20E89F0A">
      <w:pPr>
        <w:spacing w:line="360" w:lineRule="auto"/>
        <w:jc w:val="both"/>
        <w:rPr>
          <w:sz w:val="28"/>
          <w:szCs w:val="28"/>
        </w:rPr>
      </w:pPr>
    </w:p>
    <w:p w14:paraId="1729FD74">
      <w:pPr>
        <w:spacing w:line="360" w:lineRule="auto"/>
        <w:jc w:val="center"/>
        <w:rPr>
          <w:sz w:val="24"/>
        </w:rPr>
      </w:pPr>
      <w:r>
        <w:rPr>
          <w:rFonts w:hint="eastAsia"/>
          <w:b/>
          <w:sz w:val="44"/>
          <w:szCs w:val="44"/>
          <w:lang w:val="en-US" w:eastAsia="zh-CN"/>
        </w:rPr>
        <w:t>三</w:t>
      </w:r>
      <w:r>
        <w:rPr>
          <w:rFonts w:hint="eastAsia"/>
          <w:b/>
          <w:sz w:val="44"/>
          <w:szCs w:val="44"/>
        </w:rPr>
        <w:t>、</w:t>
      </w:r>
      <w:r>
        <w:rPr>
          <w:b/>
          <w:sz w:val="44"/>
          <w:szCs w:val="44"/>
        </w:rPr>
        <w:t>依照顺序提供如下材料：</w:t>
      </w:r>
    </w:p>
    <w:p w14:paraId="40ED152C">
      <w:pPr>
        <w:spacing w:line="360" w:lineRule="auto"/>
        <w:ind w:firstLine="584" w:firstLineChars="200"/>
        <w:jc w:val="both"/>
        <w:rPr>
          <w:rFonts w:eastAsia="新宋体"/>
          <w:spacing w:val="26"/>
          <w:kern w:val="15"/>
          <w:sz w:val="24"/>
          <w:szCs w:val="24"/>
        </w:rPr>
      </w:pPr>
      <w:r>
        <w:rPr>
          <w:rFonts w:hint="eastAsia" w:eastAsia="新宋体"/>
          <w:spacing w:val="26"/>
          <w:kern w:val="15"/>
          <w:sz w:val="24"/>
          <w:szCs w:val="24"/>
        </w:rPr>
        <w:t xml:space="preserve">1. </w:t>
      </w:r>
      <w:r>
        <w:rPr>
          <w:rFonts w:eastAsia="新宋体"/>
          <w:spacing w:val="26"/>
          <w:kern w:val="15"/>
          <w:sz w:val="24"/>
          <w:szCs w:val="24"/>
        </w:rPr>
        <w:t>加盖单位公章的营业执照复印件</w:t>
      </w:r>
    </w:p>
    <w:p w14:paraId="6251FE24">
      <w:pPr>
        <w:spacing w:line="360" w:lineRule="auto"/>
        <w:ind w:firstLine="584" w:firstLineChars="200"/>
        <w:jc w:val="both"/>
        <w:rPr>
          <w:rFonts w:eastAsia="新宋体"/>
          <w:spacing w:val="26"/>
          <w:kern w:val="15"/>
          <w:sz w:val="24"/>
          <w:szCs w:val="24"/>
        </w:rPr>
      </w:pPr>
      <w:r>
        <w:rPr>
          <w:rFonts w:hint="eastAsia" w:eastAsia="新宋体"/>
          <w:spacing w:val="26"/>
          <w:kern w:val="15"/>
          <w:sz w:val="24"/>
          <w:szCs w:val="24"/>
        </w:rPr>
        <w:t>2. 资质证书复印件</w:t>
      </w:r>
    </w:p>
    <w:p w14:paraId="174A39C2">
      <w:pPr>
        <w:spacing w:line="360" w:lineRule="auto"/>
        <w:ind w:firstLine="584" w:firstLineChars="200"/>
        <w:jc w:val="both"/>
        <w:rPr>
          <w:rFonts w:eastAsia="新宋体"/>
          <w:spacing w:val="26"/>
          <w:kern w:val="15"/>
          <w:sz w:val="24"/>
          <w:szCs w:val="24"/>
        </w:rPr>
      </w:pPr>
      <w:r>
        <w:rPr>
          <w:rFonts w:hint="eastAsia" w:eastAsia="新宋体"/>
          <w:spacing w:val="26"/>
          <w:kern w:val="15"/>
          <w:sz w:val="24"/>
          <w:szCs w:val="24"/>
        </w:rPr>
        <w:t>3. 其他必要的材料</w:t>
      </w:r>
    </w:p>
    <w:sectPr>
      <w:pgSz w:w="11907" w:h="16840"/>
      <w:pgMar w:top="1440" w:right="1800" w:bottom="1440" w:left="1800" w:header="567" w:footer="1009" w:gutter="0"/>
      <w:cols w:space="720" w:num="1"/>
      <w:titlePg/>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C8AB06E-AEAD-4E02-82B5-118C9AAAB64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1FAEDF1-F72A-46E5-9A6F-0BE08C8FBF86}"/>
  </w:font>
  <w:font w:name="Cambria">
    <w:panose1 w:val="02040503050406030204"/>
    <w:charset w:val="00"/>
    <w:family w:val="roman"/>
    <w:pitch w:val="default"/>
    <w:sig w:usb0="E00006FF" w:usb1="420024FF" w:usb2="02000000" w:usb3="00000000" w:csb0="2000019F" w:csb1="00000000"/>
  </w:font>
  <w:font w:name="金山简魏碑">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A1FE00EC-97B1-46AC-9593-7CABF9670317}"/>
  </w:font>
  <w:font w:name="Verdana">
    <w:panose1 w:val="020B0604030504040204"/>
    <w:charset w:val="00"/>
    <w:family w:val="swiss"/>
    <w:pitch w:val="default"/>
    <w:sig w:usb0="A00006FF" w:usb1="4000205B" w:usb2="00000010" w:usb3="00000000" w:csb0="2000019F" w:csb1="00000000"/>
  </w:font>
  <w:font w:name="方正小标宋简体">
    <w:panose1 w:val="02000000000000000000"/>
    <w:charset w:val="86"/>
    <w:family w:val="script"/>
    <w:pitch w:val="default"/>
    <w:sig w:usb0="00000001" w:usb1="08000000" w:usb2="00000000" w:usb3="00000000" w:csb0="00040000" w:csb1="00000000"/>
    <w:embedRegular r:id="rId4" w:fontKey="{5D18CB88-D1B8-42A5-9105-DEE882683665}"/>
  </w:font>
  <w:font w:name="新宋体">
    <w:panose1 w:val="02010609030101010101"/>
    <w:charset w:val="86"/>
    <w:family w:val="modern"/>
    <w:pitch w:val="default"/>
    <w:sig w:usb0="00000203" w:usb1="288F0000" w:usb2="00000006" w:usb3="00000000" w:csb0="00040001" w:csb1="00000000"/>
    <w:embedRegular r:id="rId5" w:fontKey="{76FFE52C-2E33-4B35-85C5-2391CC298FE6}"/>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B1947">
    <w:pPr>
      <w:pStyle w:val="26"/>
      <w:framePr w:wrap="around" w:vAnchor="text" w:hAnchor="margin" w:xAlign="center" w:y="1"/>
      <w:rPr>
        <w:rStyle w:val="42"/>
      </w:rPr>
    </w:pPr>
    <w:r>
      <w:fldChar w:fldCharType="begin"/>
    </w:r>
    <w:r>
      <w:rPr>
        <w:rStyle w:val="42"/>
      </w:rPr>
      <w:instrText xml:space="preserve">PAGE  </w:instrText>
    </w:r>
    <w:r>
      <w:fldChar w:fldCharType="separate"/>
    </w:r>
    <w:r>
      <w:rPr>
        <w:rStyle w:val="42"/>
      </w:rPr>
      <w:t>- 1 -</w:t>
    </w:r>
    <w:r>
      <w:fldChar w:fldCharType="end"/>
    </w:r>
  </w:p>
  <w:p w14:paraId="26159AE0">
    <w:pPr>
      <w:pStyle w:val="26"/>
      <w:framePr w:wrap="around" w:vAnchor="text" w:hAnchor="margin" w:xAlign="right" w:y="1"/>
      <w:ind w:right="360"/>
      <w:rPr>
        <w:rStyle w:val="42"/>
        <w:sz w:val="21"/>
      </w:rPr>
    </w:pPr>
  </w:p>
  <w:p w14:paraId="25E3544D">
    <w:pPr>
      <w:pStyle w:val="2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23F14">
    <w:pPr>
      <w:pStyle w:val="26"/>
      <w:framePr w:wrap="around" w:vAnchor="text" w:hAnchor="margin" w:xAlign="center" w:y="1"/>
      <w:rPr>
        <w:rStyle w:val="42"/>
      </w:rPr>
    </w:pPr>
    <w:r>
      <w:fldChar w:fldCharType="begin"/>
    </w:r>
    <w:r>
      <w:rPr>
        <w:rStyle w:val="42"/>
      </w:rPr>
      <w:instrText xml:space="preserve">PAGE  </w:instrText>
    </w:r>
    <w:r>
      <w:fldChar w:fldCharType="end"/>
    </w:r>
  </w:p>
  <w:p w14:paraId="2FFAC014">
    <w:pPr>
      <w:pStyle w:val="2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7252081"/>
      <w:docPartObj>
        <w:docPartGallery w:val="autotext"/>
      </w:docPartObj>
    </w:sdtPr>
    <w:sdtContent>
      <w:p w14:paraId="5F106CB0">
        <w:pPr>
          <w:pStyle w:val="26"/>
          <w:jc w:val="center"/>
        </w:pPr>
        <w:r>
          <w:fldChar w:fldCharType="begin"/>
        </w:r>
        <w:r>
          <w:instrText xml:space="preserve">PAGE   \* MERGEFORMAT</w:instrText>
        </w:r>
        <w:r>
          <w:fldChar w:fldCharType="separate"/>
        </w:r>
        <w:r>
          <w:rPr>
            <w:lang w:val="zh-CN"/>
          </w:rPr>
          <w:t>29</w:t>
        </w:r>
        <w:r>
          <w:fldChar w:fldCharType="end"/>
        </w:r>
      </w:p>
    </w:sdtContent>
  </w:sdt>
  <w:p w14:paraId="14268B0F">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16A12">
    <w:pPr>
      <w:pStyle w:val="26"/>
      <w:jc w:val="center"/>
    </w:pPr>
    <w:r>
      <w:fldChar w:fldCharType="begin"/>
    </w:r>
    <w:r>
      <w:instrText xml:space="preserve"> PAGE   \* MERGEFORMAT </w:instrText>
    </w:r>
    <w:r>
      <w:fldChar w:fldCharType="separate"/>
    </w:r>
    <w:r>
      <w:rPr>
        <w:lang w:val="zh-CN"/>
      </w:rPr>
      <w:t>2</w:t>
    </w:r>
    <w:r>
      <w:rPr>
        <w:lang w:val="zh-CN"/>
      </w:rPr>
      <w:fldChar w:fldCharType="end"/>
    </w:r>
  </w:p>
  <w:p w14:paraId="569EFA12">
    <w:pPr>
      <w:spacing w:line="200" w:lineRule="exac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3975E">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81F11">
    <w:pPr>
      <w:pStyle w:val="2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C789D3"/>
    <w:multiLevelType w:val="singleLevel"/>
    <w:tmpl w:val="B2C789D3"/>
    <w:lvl w:ilvl="0" w:tentative="0">
      <w:start w:val="2"/>
      <w:numFmt w:val="decimal"/>
      <w:suff w:val="nothing"/>
      <w:lvlText w:val="（%1）"/>
      <w:lvlJc w:val="left"/>
    </w:lvl>
  </w:abstractNum>
  <w:abstractNum w:abstractNumId="1">
    <w:nsid w:val="22D41CE8"/>
    <w:multiLevelType w:val="singleLevel"/>
    <w:tmpl w:val="22D41CE8"/>
    <w:lvl w:ilvl="0" w:tentative="0">
      <w:start w:val="1"/>
      <w:numFmt w:val="decimal"/>
      <w:lvlText w:val="%1."/>
      <w:lvlJc w:val="left"/>
      <w:pPr>
        <w:tabs>
          <w:tab w:val="left" w:pos="312"/>
        </w:tabs>
      </w:pPr>
    </w:lvl>
  </w:abstractNum>
  <w:abstractNum w:abstractNumId="2">
    <w:nsid w:val="357251EC"/>
    <w:multiLevelType w:val="singleLevel"/>
    <w:tmpl w:val="357251EC"/>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oNotDisplayPageBoundaries w:val="1"/>
  <w:embedTrueTypeFonts/>
  <w:saveSubsetFonts/>
  <w:bordersDoNotSurroundHeader w:val="1"/>
  <w:bordersDoNotSurroundFooter w:val="1"/>
  <w:documentProtection w:enforcement="0"/>
  <w:defaultTabStop w:val="720"/>
  <w:drawingGridHorizontalSpacing w:val="100"/>
  <w:drawingGridVerticalSpacing w:val="156"/>
  <w:displayHorizontalDrawingGridEvery w:val="0"/>
  <w:displayVerticalDrawingGridEvery w:val="2"/>
  <w:noPunctuationKerning w:val="1"/>
  <w:characterSpacingControl w:val="doNotCompress"/>
  <w:doNotValidateAgainstSchema/>
  <w:doNotDemarcateInvalidXml/>
  <w:compat>
    <w:spaceForUL/>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3ODA1NGQzNmYwNmNhNDU2MDE4Yzc1MzY5MTViODQifQ=="/>
  </w:docVars>
  <w:rsids>
    <w:rsidRoot w:val="00172A27"/>
    <w:rsid w:val="000004AC"/>
    <w:rsid w:val="00001AB8"/>
    <w:rsid w:val="00002741"/>
    <w:rsid w:val="000051B4"/>
    <w:rsid w:val="000064D7"/>
    <w:rsid w:val="00012DF7"/>
    <w:rsid w:val="0001361E"/>
    <w:rsid w:val="00016B6C"/>
    <w:rsid w:val="00023B3E"/>
    <w:rsid w:val="00023F20"/>
    <w:rsid w:val="00025006"/>
    <w:rsid w:val="0002646A"/>
    <w:rsid w:val="0002650B"/>
    <w:rsid w:val="00032A7D"/>
    <w:rsid w:val="00033E2C"/>
    <w:rsid w:val="000343D4"/>
    <w:rsid w:val="00045757"/>
    <w:rsid w:val="0004597A"/>
    <w:rsid w:val="00054AEB"/>
    <w:rsid w:val="0005779D"/>
    <w:rsid w:val="000608A7"/>
    <w:rsid w:val="00061E3C"/>
    <w:rsid w:val="00063702"/>
    <w:rsid w:val="000711E9"/>
    <w:rsid w:val="00075EB8"/>
    <w:rsid w:val="00077F34"/>
    <w:rsid w:val="00084724"/>
    <w:rsid w:val="00087D0D"/>
    <w:rsid w:val="00090DB8"/>
    <w:rsid w:val="00093911"/>
    <w:rsid w:val="000A5AB1"/>
    <w:rsid w:val="000A7D6C"/>
    <w:rsid w:val="000B0149"/>
    <w:rsid w:val="000B17FE"/>
    <w:rsid w:val="000B3D73"/>
    <w:rsid w:val="000B557B"/>
    <w:rsid w:val="000B5CD4"/>
    <w:rsid w:val="000C10D8"/>
    <w:rsid w:val="000D03F4"/>
    <w:rsid w:val="000D162D"/>
    <w:rsid w:val="000D75CB"/>
    <w:rsid w:val="000E075A"/>
    <w:rsid w:val="000E1B4D"/>
    <w:rsid w:val="000E2CD6"/>
    <w:rsid w:val="000E3194"/>
    <w:rsid w:val="000E4248"/>
    <w:rsid w:val="000E5B83"/>
    <w:rsid w:val="000E7BB6"/>
    <w:rsid w:val="000F2836"/>
    <w:rsid w:val="000F42A5"/>
    <w:rsid w:val="000F663C"/>
    <w:rsid w:val="000F6C45"/>
    <w:rsid w:val="000F7221"/>
    <w:rsid w:val="00103043"/>
    <w:rsid w:val="001038D6"/>
    <w:rsid w:val="001040C8"/>
    <w:rsid w:val="0010507E"/>
    <w:rsid w:val="0011007E"/>
    <w:rsid w:val="00116BD9"/>
    <w:rsid w:val="00117645"/>
    <w:rsid w:val="00122017"/>
    <w:rsid w:val="0012425E"/>
    <w:rsid w:val="00124E30"/>
    <w:rsid w:val="001264E9"/>
    <w:rsid w:val="00136517"/>
    <w:rsid w:val="00141E9F"/>
    <w:rsid w:val="00145AEF"/>
    <w:rsid w:val="00147172"/>
    <w:rsid w:val="001473AB"/>
    <w:rsid w:val="0016291F"/>
    <w:rsid w:val="001660BC"/>
    <w:rsid w:val="00172A27"/>
    <w:rsid w:val="00174838"/>
    <w:rsid w:val="00174C87"/>
    <w:rsid w:val="00185180"/>
    <w:rsid w:val="00185338"/>
    <w:rsid w:val="001944CC"/>
    <w:rsid w:val="00195EE5"/>
    <w:rsid w:val="00197630"/>
    <w:rsid w:val="00197C19"/>
    <w:rsid w:val="001B1150"/>
    <w:rsid w:val="001B1EAC"/>
    <w:rsid w:val="001B36D3"/>
    <w:rsid w:val="001C25F2"/>
    <w:rsid w:val="001C6F07"/>
    <w:rsid w:val="001D3656"/>
    <w:rsid w:val="001D4E1E"/>
    <w:rsid w:val="001D6F5E"/>
    <w:rsid w:val="001D781C"/>
    <w:rsid w:val="001E0147"/>
    <w:rsid w:val="001E16F8"/>
    <w:rsid w:val="001E4144"/>
    <w:rsid w:val="001E48B9"/>
    <w:rsid w:val="001E4D25"/>
    <w:rsid w:val="001F6A71"/>
    <w:rsid w:val="00204FBF"/>
    <w:rsid w:val="00211292"/>
    <w:rsid w:val="00211588"/>
    <w:rsid w:val="00212BED"/>
    <w:rsid w:val="002140E7"/>
    <w:rsid w:val="002150AE"/>
    <w:rsid w:val="002150C2"/>
    <w:rsid w:val="00216255"/>
    <w:rsid w:val="0022049C"/>
    <w:rsid w:val="00222465"/>
    <w:rsid w:val="00222BE2"/>
    <w:rsid w:val="002243A8"/>
    <w:rsid w:val="0023158D"/>
    <w:rsid w:val="00231BE5"/>
    <w:rsid w:val="00236669"/>
    <w:rsid w:val="002403AC"/>
    <w:rsid w:val="00240FFD"/>
    <w:rsid w:val="00244266"/>
    <w:rsid w:val="00245BE9"/>
    <w:rsid w:val="00246BA3"/>
    <w:rsid w:val="002500FE"/>
    <w:rsid w:val="00255A47"/>
    <w:rsid w:val="00257DEC"/>
    <w:rsid w:val="00261D07"/>
    <w:rsid w:val="00262F4B"/>
    <w:rsid w:val="0026300D"/>
    <w:rsid w:val="00263B31"/>
    <w:rsid w:val="0027209A"/>
    <w:rsid w:val="00274350"/>
    <w:rsid w:val="00280725"/>
    <w:rsid w:val="00287B65"/>
    <w:rsid w:val="00291FD7"/>
    <w:rsid w:val="0029613F"/>
    <w:rsid w:val="00297470"/>
    <w:rsid w:val="002A02F9"/>
    <w:rsid w:val="002A2629"/>
    <w:rsid w:val="002B0CF8"/>
    <w:rsid w:val="002B1CEC"/>
    <w:rsid w:val="002B2DF4"/>
    <w:rsid w:val="002B38B0"/>
    <w:rsid w:val="002B3A42"/>
    <w:rsid w:val="002B4929"/>
    <w:rsid w:val="002B598A"/>
    <w:rsid w:val="002B614C"/>
    <w:rsid w:val="002B72C3"/>
    <w:rsid w:val="002B782A"/>
    <w:rsid w:val="002C0D2F"/>
    <w:rsid w:val="002C16CB"/>
    <w:rsid w:val="002C24F9"/>
    <w:rsid w:val="002C29D5"/>
    <w:rsid w:val="002D02B8"/>
    <w:rsid w:val="002D1958"/>
    <w:rsid w:val="002E1AD9"/>
    <w:rsid w:val="002E3EA8"/>
    <w:rsid w:val="002E476A"/>
    <w:rsid w:val="002E77F0"/>
    <w:rsid w:val="002F1564"/>
    <w:rsid w:val="002F2BF1"/>
    <w:rsid w:val="002F34CE"/>
    <w:rsid w:val="002F4BCC"/>
    <w:rsid w:val="00300A55"/>
    <w:rsid w:val="00301480"/>
    <w:rsid w:val="003068B8"/>
    <w:rsid w:val="00307A1A"/>
    <w:rsid w:val="00310389"/>
    <w:rsid w:val="00313B31"/>
    <w:rsid w:val="003145F3"/>
    <w:rsid w:val="00314ACB"/>
    <w:rsid w:val="00315E64"/>
    <w:rsid w:val="00316F3D"/>
    <w:rsid w:val="003171C2"/>
    <w:rsid w:val="003261CB"/>
    <w:rsid w:val="00327C98"/>
    <w:rsid w:val="00331819"/>
    <w:rsid w:val="00335299"/>
    <w:rsid w:val="00337214"/>
    <w:rsid w:val="0034047C"/>
    <w:rsid w:val="00341DBA"/>
    <w:rsid w:val="00342CE3"/>
    <w:rsid w:val="00342EFF"/>
    <w:rsid w:val="0035174A"/>
    <w:rsid w:val="0035244E"/>
    <w:rsid w:val="003568FD"/>
    <w:rsid w:val="00357EC9"/>
    <w:rsid w:val="00360550"/>
    <w:rsid w:val="0036249B"/>
    <w:rsid w:val="00364423"/>
    <w:rsid w:val="00372E15"/>
    <w:rsid w:val="00375F15"/>
    <w:rsid w:val="00380391"/>
    <w:rsid w:val="00381E21"/>
    <w:rsid w:val="0038357B"/>
    <w:rsid w:val="003849D8"/>
    <w:rsid w:val="00384E90"/>
    <w:rsid w:val="00392896"/>
    <w:rsid w:val="003956DC"/>
    <w:rsid w:val="00395F7B"/>
    <w:rsid w:val="00396DD3"/>
    <w:rsid w:val="003977CB"/>
    <w:rsid w:val="00397E44"/>
    <w:rsid w:val="003A00F6"/>
    <w:rsid w:val="003A4399"/>
    <w:rsid w:val="003A70EF"/>
    <w:rsid w:val="003A7CF2"/>
    <w:rsid w:val="003B440F"/>
    <w:rsid w:val="003C0D0A"/>
    <w:rsid w:val="003C18F8"/>
    <w:rsid w:val="003C51E4"/>
    <w:rsid w:val="003C7462"/>
    <w:rsid w:val="003C75CD"/>
    <w:rsid w:val="003D6AD3"/>
    <w:rsid w:val="003E3750"/>
    <w:rsid w:val="003E595B"/>
    <w:rsid w:val="003E7BB1"/>
    <w:rsid w:val="003F2EE0"/>
    <w:rsid w:val="0040021B"/>
    <w:rsid w:val="00401A10"/>
    <w:rsid w:val="004056F7"/>
    <w:rsid w:val="004058E0"/>
    <w:rsid w:val="00410277"/>
    <w:rsid w:val="00413412"/>
    <w:rsid w:val="00414E8C"/>
    <w:rsid w:val="004161CA"/>
    <w:rsid w:val="00416245"/>
    <w:rsid w:val="00421B6E"/>
    <w:rsid w:val="0043000A"/>
    <w:rsid w:val="00430961"/>
    <w:rsid w:val="00430CAD"/>
    <w:rsid w:val="004329CF"/>
    <w:rsid w:val="00432D3D"/>
    <w:rsid w:val="004335B5"/>
    <w:rsid w:val="004459D9"/>
    <w:rsid w:val="004478B5"/>
    <w:rsid w:val="00451783"/>
    <w:rsid w:val="00455E85"/>
    <w:rsid w:val="00461F53"/>
    <w:rsid w:val="0046284D"/>
    <w:rsid w:val="00465FD1"/>
    <w:rsid w:val="0046692A"/>
    <w:rsid w:val="00472732"/>
    <w:rsid w:val="00472F4F"/>
    <w:rsid w:val="00473553"/>
    <w:rsid w:val="0048537B"/>
    <w:rsid w:val="00495CE2"/>
    <w:rsid w:val="004A1A4E"/>
    <w:rsid w:val="004A205D"/>
    <w:rsid w:val="004A772D"/>
    <w:rsid w:val="004D0890"/>
    <w:rsid w:val="004E1A34"/>
    <w:rsid w:val="004F5F11"/>
    <w:rsid w:val="00505CFE"/>
    <w:rsid w:val="005064C2"/>
    <w:rsid w:val="0050780D"/>
    <w:rsid w:val="00507D91"/>
    <w:rsid w:val="00513CA1"/>
    <w:rsid w:val="00513F5F"/>
    <w:rsid w:val="00514031"/>
    <w:rsid w:val="005166F1"/>
    <w:rsid w:val="0051765A"/>
    <w:rsid w:val="00520547"/>
    <w:rsid w:val="0052571E"/>
    <w:rsid w:val="0052774D"/>
    <w:rsid w:val="00532EFB"/>
    <w:rsid w:val="00533EE3"/>
    <w:rsid w:val="005347BF"/>
    <w:rsid w:val="005359FB"/>
    <w:rsid w:val="005365D7"/>
    <w:rsid w:val="005378E8"/>
    <w:rsid w:val="0054308E"/>
    <w:rsid w:val="00543593"/>
    <w:rsid w:val="0054379D"/>
    <w:rsid w:val="00543911"/>
    <w:rsid w:val="00545304"/>
    <w:rsid w:val="00546140"/>
    <w:rsid w:val="005554D6"/>
    <w:rsid w:val="00560370"/>
    <w:rsid w:val="0056204D"/>
    <w:rsid w:val="0056457F"/>
    <w:rsid w:val="00565013"/>
    <w:rsid w:val="00573AB6"/>
    <w:rsid w:val="0057408D"/>
    <w:rsid w:val="005742B5"/>
    <w:rsid w:val="005746D2"/>
    <w:rsid w:val="005747BC"/>
    <w:rsid w:val="00576928"/>
    <w:rsid w:val="00584889"/>
    <w:rsid w:val="00584A55"/>
    <w:rsid w:val="00586CF1"/>
    <w:rsid w:val="005A0E68"/>
    <w:rsid w:val="005B2427"/>
    <w:rsid w:val="005B4ED0"/>
    <w:rsid w:val="005B577D"/>
    <w:rsid w:val="005C0266"/>
    <w:rsid w:val="005C1685"/>
    <w:rsid w:val="005C5BB8"/>
    <w:rsid w:val="005D278E"/>
    <w:rsid w:val="005D5C82"/>
    <w:rsid w:val="005D635E"/>
    <w:rsid w:val="005D67A4"/>
    <w:rsid w:val="005E38C7"/>
    <w:rsid w:val="005E4B0B"/>
    <w:rsid w:val="005E4CF5"/>
    <w:rsid w:val="005E4DB2"/>
    <w:rsid w:val="005E5799"/>
    <w:rsid w:val="005E651B"/>
    <w:rsid w:val="005F4468"/>
    <w:rsid w:val="005F663C"/>
    <w:rsid w:val="005F7ACE"/>
    <w:rsid w:val="00601BB6"/>
    <w:rsid w:val="0060515F"/>
    <w:rsid w:val="006059E9"/>
    <w:rsid w:val="00611363"/>
    <w:rsid w:val="00611432"/>
    <w:rsid w:val="00617492"/>
    <w:rsid w:val="00621EC6"/>
    <w:rsid w:val="0062276F"/>
    <w:rsid w:val="00624153"/>
    <w:rsid w:val="006245CC"/>
    <w:rsid w:val="00626698"/>
    <w:rsid w:val="00633B0A"/>
    <w:rsid w:val="00636024"/>
    <w:rsid w:val="006369C4"/>
    <w:rsid w:val="006453F9"/>
    <w:rsid w:val="00646081"/>
    <w:rsid w:val="00660F5E"/>
    <w:rsid w:val="00662EC8"/>
    <w:rsid w:val="00664800"/>
    <w:rsid w:val="006655F8"/>
    <w:rsid w:val="00665726"/>
    <w:rsid w:val="0066599B"/>
    <w:rsid w:val="0066646E"/>
    <w:rsid w:val="00667DF7"/>
    <w:rsid w:val="0067287F"/>
    <w:rsid w:val="00676109"/>
    <w:rsid w:val="00680F69"/>
    <w:rsid w:val="00685A37"/>
    <w:rsid w:val="00690053"/>
    <w:rsid w:val="00690E62"/>
    <w:rsid w:val="00693C01"/>
    <w:rsid w:val="006944EA"/>
    <w:rsid w:val="00694C20"/>
    <w:rsid w:val="006A12EB"/>
    <w:rsid w:val="006A57E4"/>
    <w:rsid w:val="006A60D7"/>
    <w:rsid w:val="006A6F78"/>
    <w:rsid w:val="006B1F12"/>
    <w:rsid w:val="006B20B0"/>
    <w:rsid w:val="006B2DB0"/>
    <w:rsid w:val="006B3177"/>
    <w:rsid w:val="006C0BF3"/>
    <w:rsid w:val="006C4A7F"/>
    <w:rsid w:val="006D3F3F"/>
    <w:rsid w:val="006E03E2"/>
    <w:rsid w:val="006E3833"/>
    <w:rsid w:val="006E4121"/>
    <w:rsid w:val="006E7510"/>
    <w:rsid w:val="006F109E"/>
    <w:rsid w:val="006F44AA"/>
    <w:rsid w:val="006F48A9"/>
    <w:rsid w:val="006F773D"/>
    <w:rsid w:val="0070544D"/>
    <w:rsid w:val="00711C0E"/>
    <w:rsid w:val="00713BCA"/>
    <w:rsid w:val="0071538B"/>
    <w:rsid w:val="00715624"/>
    <w:rsid w:val="00717447"/>
    <w:rsid w:val="00721901"/>
    <w:rsid w:val="00722105"/>
    <w:rsid w:val="0072359D"/>
    <w:rsid w:val="0072411C"/>
    <w:rsid w:val="00725E85"/>
    <w:rsid w:val="00727E52"/>
    <w:rsid w:val="00730AC6"/>
    <w:rsid w:val="00737A6E"/>
    <w:rsid w:val="007417D4"/>
    <w:rsid w:val="00744133"/>
    <w:rsid w:val="00746194"/>
    <w:rsid w:val="00747698"/>
    <w:rsid w:val="00754CAF"/>
    <w:rsid w:val="007561CE"/>
    <w:rsid w:val="00760F29"/>
    <w:rsid w:val="007621FD"/>
    <w:rsid w:val="00772466"/>
    <w:rsid w:val="00774179"/>
    <w:rsid w:val="007756DB"/>
    <w:rsid w:val="007809DA"/>
    <w:rsid w:val="00783914"/>
    <w:rsid w:val="007843AF"/>
    <w:rsid w:val="00793556"/>
    <w:rsid w:val="00794A50"/>
    <w:rsid w:val="00795AAB"/>
    <w:rsid w:val="007A367A"/>
    <w:rsid w:val="007A5D6F"/>
    <w:rsid w:val="007B1939"/>
    <w:rsid w:val="007B2855"/>
    <w:rsid w:val="007C112B"/>
    <w:rsid w:val="007D620B"/>
    <w:rsid w:val="007E1B25"/>
    <w:rsid w:val="007E2197"/>
    <w:rsid w:val="007E269F"/>
    <w:rsid w:val="007E32C6"/>
    <w:rsid w:val="007E59CF"/>
    <w:rsid w:val="007F6A4B"/>
    <w:rsid w:val="00802F83"/>
    <w:rsid w:val="00803478"/>
    <w:rsid w:val="00803814"/>
    <w:rsid w:val="008101C9"/>
    <w:rsid w:val="00811D41"/>
    <w:rsid w:val="00817A17"/>
    <w:rsid w:val="00817CEE"/>
    <w:rsid w:val="00825904"/>
    <w:rsid w:val="00832F54"/>
    <w:rsid w:val="0083434B"/>
    <w:rsid w:val="008412D8"/>
    <w:rsid w:val="00841B42"/>
    <w:rsid w:val="008450BC"/>
    <w:rsid w:val="00846AA9"/>
    <w:rsid w:val="0084719F"/>
    <w:rsid w:val="00851E8B"/>
    <w:rsid w:val="00860833"/>
    <w:rsid w:val="0086209B"/>
    <w:rsid w:val="00864357"/>
    <w:rsid w:val="00867C02"/>
    <w:rsid w:val="008716AD"/>
    <w:rsid w:val="00873E70"/>
    <w:rsid w:val="00884813"/>
    <w:rsid w:val="008858F0"/>
    <w:rsid w:val="00887C35"/>
    <w:rsid w:val="00887E84"/>
    <w:rsid w:val="00891BA7"/>
    <w:rsid w:val="008951A4"/>
    <w:rsid w:val="0089639C"/>
    <w:rsid w:val="008A05BC"/>
    <w:rsid w:val="008A22B6"/>
    <w:rsid w:val="008A3591"/>
    <w:rsid w:val="008A4122"/>
    <w:rsid w:val="008A4DBF"/>
    <w:rsid w:val="008A7F97"/>
    <w:rsid w:val="008B064A"/>
    <w:rsid w:val="008B10CF"/>
    <w:rsid w:val="008B419E"/>
    <w:rsid w:val="008B6245"/>
    <w:rsid w:val="008B6959"/>
    <w:rsid w:val="008B79B6"/>
    <w:rsid w:val="008C10B4"/>
    <w:rsid w:val="008C20F9"/>
    <w:rsid w:val="008C27E0"/>
    <w:rsid w:val="008C3194"/>
    <w:rsid w:val="008C386E"/>
    <w:rsid w:val="008C39CF"/>
    <w:rsid w:val="008C5FF7"/>
    <w:rsid w:val="008D7AAE"/>
    <w:rsid w:val="008E19C4"/>
    <w:rsid w:val="008E1A69"/>
    <w:rsid w:val="008E3B85"/>
    <w:rsid w:val="008E4A4F"/>
    <w:rsid w:val="008F2635"/>
    <w:rsid w:val="008F6382"/>
    <w:rsid w:val="00907537"/>
    <w:rsid w:val="009109C1"/>
    <w:rsid w:val="00924352"/>
    <w:rsid w:val="009331B9"/>
    <w:rsid w:val="00936C62"/>
    <w:rsid w:val="009377C1"/>
    <w:rsid w:val="00940454"/>
    <w:rsid w:val="00941327"/>
    <w:rsid w:val="00941AB0"/>
    <w:rsid w:val="009423C6"/>
    <w:rsid w:val="009428D4"/>
    <w:rsid w:val="0094378D"/>
    <w:rsid w:val="00946C17"/>
    <w:rsid w:val="00950742"/>
    <w:rsid w:val="0096011A"/>
    <w:rsid w:val="0096013E"/>
    <w:rsid w:val="0096187B"/>
    <w:rsid w:val="0097188A"/>
    <w:rsid w:val="00976F06"/>
    <w:rsid w:val="0098521C"/>
    <w:rsid w:val="00985C3D"/>
    <w:rsid w:val="009905ED"/>
    <w:rsid w:val="00991205"/>
    <w:rsid w:val="00991356"/>
    <w:rsid w:val="00992DAC"/>
    <w:rsid w:val="00992F46"/>
    <w:rsid w:val="00993C9F"/>
    <w:rsid w:val="009963B4"/>
    <w:rsid w:val="009977D5"/>
    <w:rsid w:val="009B1226"/>
    <w:rsid w:val="009B3615"/>
    <w:rsid w:val="009B38FE"/>
    <w:rsid w:val="009B440B"/>
    <w:rsid w:val="009B4EE8"/>
    <w:rsid w:val="009B6FAD"/>
    <w:rsid w:val="009C073B"/>
    <w:rsid w:val="009C487D"/>
    <w:rsid w:val="009C52CF"/>
    <w:rsid w:val="009C7917"/>
    <w:rsid w:val="009D35B7"/>
    <w:rsid w:val="009D48AB"/>
    <w:rsid w:val="009D5DFC"/>
    <w:rsid w:val="009D73B3"/>
    <w:rsid w:val="009E3D6D"/>
    <w:rsid w:val="009E3EB3"/>
    <w:rsid w:val="009F4C36"/>
    <w:rsid w:val="009F61A0"/>
    <w:rsid w:val="009F71FE"/>
    <w:rsid w:val="009F7F3F"/>
    <w:rsid w:val="00A01648"/>
    <w:rsid w:val="00A03CED"/>
    <w:rsid w:val="00A0588C"/>
    <w:rsid w:val="00A10F5B"/>
    <w:rsid w:val="00A155C8"/>
    <w:rsid w:val="00A16524"/>
    <w:rsid w:val="00A21741"/>
    <w:rsid w:val="00A2223A"/>
    <w:rsid w:val="00A24239"/>
    <w:rsid w:val="00A3285A"/>
    <w:rsid w:val="00A335D1"/>
    <w:rsid w:val="00A3788E"/>
    <w:rsid w:val="00A431EF"/>
    <w:rsid w:val="00A43FB0"/>
    <w:rsid w:val="00A468C5"/>
    <w:rsid w:val="00A51362"/>
    <w:rsid w:val="00A52C88"/>
    <w:rsid w:val="00A55458"/>
    <w:rsid w:val="00A647C7"/>
    <w:rsid w:val="00A721C7"/>
    <w:rsid w:val="00A73F13"/>
    <w:rsid w:val="00A771BE"/>
    <w:rsid w:val="00A77E3C"/>
    <w:rsid w:val="00A809CE"/>
    <w:rsid w:val="00A83677"/>
    <w:rsid w:val="00A91622"/>
    <w:rsid w:val="00A94277"/>
    <w:rsid w:val="00A96C25"/>
    <w:rsid w:val="00A977AF"/>
    <w:rsid w:val="00AA21BE"/>
    <w:rsid w:val="00AA21CF"/>
    <w:rsid w:val="00AA3CCB"/>
    <w:rsid w:val="00AA486E"/>
    <w:rsid w:val="00AA55DA"/>
    <w:rsid w:val="00AB0FE5"/>
    <w:rsid w:val="00AB25EB"/>
    <w:rsid w:val="00AB26C2"/>
    <w:rsid w:val="00AB7848"/>
    <w:rsid w:val="00AC0B54"/>
    <w:rsid w:val="00AC2DA9"/>
    <w:rsid w:val="00AC45AA"/>
    <w:rsid w:val="00AC58CD"/>
    <w:rsid w:val="00AD74F3"/>
    <w:rsid w:val="00AE50A7"/>
    <w:rsid w:val="00AE71E4"/>
    <w:rsid w:val="00AE7825"/>
    <w:rsid w:val="00AF08DD"/>
    <w:rsid w:val="00AF0FBC"/>
    <w:rsid w:val="00AF2FF3"/>
    <w:rsid w:val="00AF426F"/>
    <w:rsid w:val="00AF47C8"/>
    <w:rsid w:val="00AF5BC5"/>
    <w:rsid w:val="00AF6B65"/>
    <w:rsid w:val="00B010B5"/>
    <w:rsid w:val="00B03E79"/>
    <w:rsid w:val="00B053D9"/>
    <w:rsid w:val="00B12A8E"/>
    <w:rsid w:val="00B26C1D"/>
    <w:rsid w:val="00B30C4A"/>
    <w:rsid w:val="00B31876"/>
    <w:rsid w:val="00B31BFB"/>
    <w:rsid w:val="00B3279B"/>
    <w:rsid w:val="00B3536C"/>
    <w:rsid w:val="00B37600"/>
    <w:rsid w:val="00B379E9"/>
    <w:rsid w:val="00B45B1A"/>
    <w:rsid w:val="00B534D3"/>
    <w:rsid w:val="00B562E8"/>
    <w:rsid w:val="00B60148"/>
    <w:rsid w:val="00B615AE"/>
    <w:rsid w:val="00B631C3"/>
    <w:rsid w:val="00B63B79"/>
    <w:rsid w:val="00B641C2"/>
    <w:rsid w:val="00B66E4A"/>
    <w:rsid w:val="00B67BA6"/>
    <w:rsid w:val="00B737A5"/>
    <w:rsid w:val="00B74F07"/>
    <w:rsid w:val="00B764CA"/>
    <w:rsid w:val="00B806D9"/>
    <w:rsid w:val="00B84145"/>
    <w:rsid w:val="00B87921"/>
    <w:rsid w:val="00B908E4"/>
    <w:rsid w:val="00B910F1"/>
    <w:rsid w:val="00B919E3"/>
    <w:rsid w:val="00B94AB1"/>
    <w:rsid w:val="00BA34E1"/>
    <w:rsid w:val="00BA4B7B"/>
    <w:rsid w:val="00BA609A"/>
    <w:rsid w:val="00BB7BA3"/>
    <w:rsid w:val="00BC1E03"/>
    <w:rsid w:val="00BD319F"/>
    <w:rsid w:val="00BD64B1"/>
    <w:rsid w:val="00BD73B7"/>
    <w:rsid w:val="00BE1B95"/>
    <w:rsid w:val="00BE4248"/>
    <w:rsid w:val="00BE7B79"/>
    <w:rsid w:val="00BF62C3"/>
    <w:rsid w:val="00BF6672"/>
    <w:rsid w:val="00C00EED"/>
    <w:rsid w:val="00C0230C"/>
    <w:rsid w:val="00C0312B"/>
    <w:rsid w:val="00C06D71"/>
    <w:rsid w:val="00C06FE0"/>
    <w:rsid w:val="00C0761F"/>
    <w:rsid w:val="00C07FDA"/>
    <w:rsid w:val="00C20491"/>
    <w:rsid w:val="00C24D5B"/>
    <w:rsid w:val="00C272EB"/>
    <w:rsid w:val="00C3391A"/>
    <w:rsid w:val="00C35F8B"/>
    <w:rsid w:val="00C4249C"/>
    <w:rsid w:val="00C43B73"/>
    <w:rsid w:val="00C44280"/>
    <w:rsid w:val="00C45710"/>
    <w:rsid w:val="00C4701C"/>
    <w:rsid w:val="00C51497"/>
    <w:rsid w:val="00C538A7"/>
    <w:rsid w:val="00C540AF"/>
    <w:rsid w:val="00C5490D"/>
    <w:rsid w:val="00C5588A"/>
    <w:rsid w:val="00C56299"/>
    <w:rsid w:val="00C605E7"/>
    <w:rsid w:val="00C61020"/>
    <w:rsid w:val="00C64F39"/>
    <w:rsid w:val="00C7165F"/>
    <w:rsid w:val="00C72D56"/>
    <w:rsid w:val="00C7331B"/>
    <w:rsid w:val="00C766A1"/>
    <w:rsid w:val="00C80C14"/>
    <w:rsid w:val="00C81509"/>
    <w:rsid w:val="00C830C0"/>
    <w:rsid w:val="00C83803"/>
    <w:rsid w:val="00C85AEC"/>
    <w:rsid w:val="00C8646E"/>
    <w:rsid w:val="00C9411C"/>
    <w:rsid w:val="00CA7356"/>
    <w:rsid w:val="00CB0300"/>
    <w:rsid w:val="00CB1C12"/>
    <w:rsid w:val="00CC0B49"/>
    <w:rsid w:val="00CC0F67"/>
    <w:rsid w:val="00CC175F"/>
    <w:rsid w:val="00CC23A3"/>
    <w:rsid w:val="00CC29F3"/>
    <w:rsid w:val="00CC3CA3"/>
    <w:rsid w:val="00CC4E70"/>
    <w:rsid w:val="00CC6290"/>
    <w:rsid w:val="00CD059E"/>
    <w:rsid w:val="00CD381A"/>
    <w:rsid w:val="00CD5CD8"/>
    <w:rsid w:val="00CD6F1F"/>
    <w:rsid w:val="00CD7E86"/>
    <w:rsid w:val="00CD7F8A"/>
    <w:rsid w:val="00CE0350"/>
    <w:rsid w:val="00CE0519"/>
    <w:rsid w:val="00CE1D0B"/>
    <w:rsid w:val="00CE1FAB"/>
    <w:rsid w:val="00CF43B7"/>
    <w:rsid w:val="00CF5F04"/>
    <w:rsid w:val="00CF67F4"/>
    <w:rsid w:val="00D0043B"/>
    <w:rsid w:val="00D01057"/>
    <w:rsid w:val="00D0207C"/>
    <w:rsid w:val="00D03248"/>
    <w:rsid w:val="00D10F91"/>
    <w:rsid w:val="00D120B3"/>
    <w:rsid w:val="00D1305B"/>
    <w:rsid w:val="00D15219"/>
    <w:rsid w:val="00D222C3"/>
    <w:rsid w:val="00D26720"/>
    <w:rsid w:val="00D26826"/>
    <w:rsid w:val="00D271F3"/>
    <w:rsid w:val="00D33193"/>
    <w:rsid w:val="00D33908"/>
    <w:rsid w:val="00D34B23"/>
    <w:rsid w:val="00D372AF"/>
    <w:rsid w:val="00D418AB"/>
    <w:rsid w:val="00D4713C"/>
    <w:rsid w:val="00D47155"/>
    <w:rsid w:val="00D5021F"/>
    <w:rsid w:val="00D514A2"/>
    <w:rsid w:val="00D52A04"/>
    <w:rsid w:val="00D53E5B"/>
    <w:rsid w:val="00D614B0"/>
    <w:rsid w:val="00D66FC9"/>
    <w:rsid w:val="00D711EF"/>
    <w:rsid w:val="00D71690"/>
    <w:rsid w:val="00D74594"/>
    <w:rsid w:val="00D74773"/>
    <w:rsid w:val="00D74F89"/>
    <w:rsid w:val="00D760C4"/>
    <w:rsid w:val="00D766C8"/>
    <w:rsid w:val="00D77329"/>
    <w:rsid w:val="00D774D4"/>
    <w:rsid w:val="00D8137A"/>
    <w:rsid w:val="00D81F9C"/>
    <w:rsid w:val="00D8383E"/>
    <w:rsid w:val="00D83901"/>
    <w:rsid w:val="00D83D18"/>
    <w:rsid w:val="00D8409B"/>
    <w:rsid w:val="00D84EC9"/>
    <w:rsid w:val="00D90EBD"/>
    <w:rsid w:val="00D94ECA"/>
    <w:rsid w:val="00DA012A"/>
    <w:rsid w:val="00DA1174"/>
    <w:rsid w:val="00DA5DF8"/>
    <w:rsid w:val="00DB1CB8"/>
    <w:rsid w:val="00DB3D95"/>
    <w:rsid w:val="00DB6575"/>
    <w:rsid w:val="00DC1525"/>
    <w:rsid w:val="00DC7859"/>
    <w:rsid w:val="00DD013E"/>
    <w:rsid w:val="00DD1003"/>
    <w:rsid w:val="00DE2E86"/>
    <w:rsid w:val="00DE3C70"/>
    <w:rsid w:val="00DE4F58"/>
    <w:rsid w:val="00DF422E"/>
    <w:rsid w:val="00DF65B2"/>
    <w:rsid w:val="00E038DD"/>
    <w:rsid w:val="00E042F9"/>
    <w:rsid w:val="00E10AC7"/>
    <w:rsid w:val="00E121B7"/>
    <w:rsid w:val="00E14CC1"/>
    <w:rsid w:val="00E27274"/>
    <w:rsid w:val="00E27EAD"/>
    <w:rsid w:val="00E40660"/>
    <w:rsid w:val="00E42E98"/>
    <w:rsid w:val="00E4444F"/>
    <w:rsid w:val="00E4645E"/>
    <w:rsid w:val="00E507F3"/>
    <w:rsid w:val="00E5300A"/>
    <w:rsid w:val="00E55C1F"/>
    <w:rsid w:val="00E60475"/>
    <w:rsid w:val="00E6095C"/>
    <w:rsid w:val="00E614CA"/>
    <w:rsid w:val="00E61D8D"/>
    <w:rsid w:val="00E6223E"/>
    <w:rsid w:val="00E63FE6"/>
    <w:rsid w:val="00E64CF4"/>
    <w:rsid w:val="00E7111E"/>
    <w:rsid w:val="00E769B6"/>
    <w:rsid w:val="00E77277"/>
    <w:rsid w:val="00E84D63"/>
    <w:rsid w:val="00E86365"/>
    <w:rsid w:val="00E921BB"/>
    <w:rsid w:val="00E94CE7"/>
    <w:rsid w:val="00EA1AE0"/>
    <w:rsid w:val="00EA274C"/>
    <w:rsid w:val="00EA3C6B"/>
    <w:rsid w:val="00EA6C2C"/>
    <w:rsid w:val="00EB1070"/>
    <w:rsid w:val="00EB4F96"/>
    <w:rsid w:val="00EB7351"/>
    <w:rsid w:val="00ED58C0"/>
    <w:rsid w:val="00EE28AA"/>
    <w:rsid w:val="00EE30DC"/>
    <w:rsid w:val="00EE44F9"/>
    <w:rsid w:val="00EF0205"/>
    <w:rsid w:val="00EF24AE"/>
    <w:rsid w:val="00EF4F43"/>
    <w:rsid w:val="00EF5C22"/>
    <w:rsid w:val="00F0181F"/>
    <w:rsid w:val="00F067B1"/>
    <w:rsid w:val="00F07501"/>
    <w:rsid w:val="00F07893"/>
    <w:rsid w:val="00F0799B"/>
    <w:rsid w:val="00F123D8"/>
    <w:rsid w:val="00F16FF8"/>
    <w:rsid w:val="00F17176"/>
    <w:rsid w:val="00F17FA1"/>
    <w:rsid w:val="00F212A7"/>
    <w:rsid w:val="00F219CA"/>
    <w:rsid w:val="00F2201D"/>
    <w:rsid w:val="00F2446E"/>
    <w:rsid w:val="00F246C8"/>
    <w:rsid w:val="00F25EC0"/>
    <w:rsid w:val="00F271BE"/>
    <w:rsid w:val="00F27676"/>
    <w:rsid w:val="00F32B5A"/>
    <w:rsid w:val="00F3451A"/>
    <w:rsid w:val="00F348B2"/>
    <w:rsid w:val="00F406C8"/>
    <w:rsid w:val="00F41AFF"/>
    <w:rsid w:val="00F45E4E"/>
    <w:rsid w:val="00F46E40"/>
    <w:rsid w:val="00F54D80"/>
    <w:rsid w:val="00F556FB"/>
    <w:rsid w:val="00F564BD"/>
    <w:rsid w:val="00F57440"/>
    <w:rsid w:val="00F6076A"/>
    <w:rsid w:val="00F6135B"/>
    <w:rsid w:val="00F6222E"/>
    <w:rsid w:val="00F65A86"/>
    <w:rsid w:val="00F65D03"/>
    <w:rsid w:val="00F66124"/>
    <w:rsid w:val="00F665E2"/>
    <w:rsid w:val="00F71620"/>
    <w:rsid w:val="00F72665"/>
    <w:rsid w:val="00F726BB"/>
    <w:rsid w:val="00F75260"/>
    <w:rsid w:val="00F7576B"/>
    <w:rsid w:val="00F766A3"/>
    <w:rsid w:val="00F804B1"/>
    <w:rsid w:val="00F8163E"/>
    <w:rsid w:val="00F83942"/>
    <w:rsid w:val="00F84AFB"/>
    <w:rsid w:val="00F85189"/>
    <w:rsid w:val="00F8709C"/>
    <w:rsid w:val="00F9459B"/>
    <w:rsid w:val="00F969E0"/>
    <w:rsid w:val="00F96B56"/>
    <w:rsid w:val="00F974DF"/>
    <w:rsid w:val="00FA52BE"/>
    <w:rsid w:val="00FA5405"/>
    <w:rsid w:val="00FB1996"/>
    <w:rsid w:val="00FB1B61"/>
    <w:rsid w:val="00FB2783"/>
    <w:rsid w:val="00FB31C5"/>
    <w:rsid w:val="00FB781F"/>
    <w:rsid w:val="00FC2BD2"/>
    <w:rsid w:val="00FC45EE"/>
    <w:rsid w:val="00FC7BEC"/>
    <w:rsid w:val="00FD2FF7"/>
    <w:rsid w:val="00FD7676"/>
    <w:rsid w:val="00FE17FC"/>
    <w:rsid w:val="00FE2EC9"/>
    <w:rsid w:val="00FF03D3"/>
    <w:rsid w:val="00FF3719"/>
    <w:rsid w:val="00FF58D1"/>
    <w:rsid w:val="00FF6FB1"/>
    <w:rsid w:val="01596075"/>
    <w:rsid w:val="051D6A6C"/>
    <w:rsid w:val="0CAE7BF3"/>
    <w:rsid w:val="0EAD22F7"/>
    <w:rsid w:val="0EDA01DE"/>
    <w:rsid w:val="109F0BC1"/>
    <w:rsid w:val="11020FB6"/>
    <w:rsid w:val="142B56C4"/>
    <w:rsid w:val="18E5081F"/>
    <w:rsid w:val="18ED400C"/>
    <w:rsid w:val="19166581"/>
    <w:rsid w:val="19A9641A"/>
    <w:rsid w:val="1AC13CB4"/>
    <w:rsid w:val="1BB87859"/>
    <w:rsid w:val="1BBE3C61"/>
    <w:rsid w:val="1DA51CE7"/>
    <w:rsid w:val="1F3312E5"/>
    <w:rsid w:val="238452EA"/>
    <w:rsid w:val="254B3388"/>
    <w:rsid w:val="254F387A"/>
    <w:rsid w:val="28C82D3B"/>
    <w:rsid w:val="2A280005"/>
    <w:rsid w:val="2E3259D8"/>
    <w:rsid w:val="309324A7"/>
    <w:rsid w:val="319C01C9"/>
    <w:rsid w:val="34E64E0C"/>
    <w:rsid w:val="35B44A19"/>
    <w:rsid w:val="35E608A3"/>
    <w:rsid w:val="36FB0251"/>
    <w:rsid w:val="3B4837B0"/>
    <w:rsid w:val="3C2B0C4E"/>
    <w:rsid w:val="3F085884"/>
    <w:rsid w:val="40643396"/>
    <w:rsid w:val="42C121F4"/>
    <w:rsid w:val="44FA4C9C"/>
    <w:rsid w:val="45B15882"/>
    <w:rsid w:val="4768156E"/>
    <w:rsid w:val="48915481"/>
    <w:rsid w:val="49C50185"/>
    <w:rsid w:val="4BC71F16"/>
    <w:rsid w:val="4E6F5F27"/>
    <w:rsid w:val="501F2F0C"/>
    <w:rsid w:val="50C25123"/>
    <w:rsid w:val="51AF4A4C"/>
    <w:rsid w:val="52AD3126"/>
    <w:rsid w:val="540E0775"/>
    <w:rsid w:val="55BE25C3"/>
    <w:rsid w:val="571142C2"/>
    <w:rsid w:val="5E1C1C4D"/>
    <w:rsid w:val="5E8072FE"/>
    <w:rsid w:val="658D3E3D"/>
    <w:rsid w:val="661D4BC2"/>
    <w:rsid w:val="66C96073"/>
    <w:rsid w:val="67EB1808"/>
    <w:rsid w:val="689B5069"/>
    <w:rsid w:val="6A582986"/>
    <w:rsid w:val="6D0A4613"/>
    <w:rsid w:val="6F5070A3"/>
    <w:rsid w:val="71164114"/>
    <w:rsid w:val="71375561"/>
    <w:rsid w:val="7179165F"/>
    <w:rsid w:val="71A36DE5"/>
    <w:rsid w:val="73AD3836"/>
    <w:rsid w:val="79C35B0F"/>
    <w:rsid w:val="79D07BAF"/>
    <w:rsid w:val="7E882B5D"/>
    <w:rsid w:val="7E9B5C68"/>
    <w:rsid w:val="7F50690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lang w:val="en-US" w:eastAsia="zh-CN" w:bidi="ar-SA"/>
    </w:rPr>
  </w:style>
  <w:style w:type="paragraph" w:styleId="2">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0"/>
    <w:pPr>
      <w:keepNext/>
      <w:keepLines/>
      <w:widowControl w:val="0"/>
      <w:spacing w:before="260" w:after="260" w:line="416" w:lineRule="auto"/>
      <w:jc w:val="both"/>
      <w:outlineLvl w:val="1"/>
    </w:pPr>
    <w:rPr>
      <w:rFonts w:ascii="Arial" w:hAnsi="Arial" w:eastAsia="黑体"/>
      <w:b/>
      <w:kern w:val="2"/>
      <w:sz w:val="32"/>
    </w:rPr>
  </w:style>
  <w:style w:type="paragraph" w:styleId="4">
    <w:name w:val="heading 3"/>
    <w:basedOn w:val="1"/>
    <w:next w:val="1"/>
    <w:link w:val="49"/>
    <w:qFormat/>
    <w:uiPriority w:val="0"/>
    <w:pPr>
      <w:keepNext/>
      <w:keepLines/>
      <w:spacing w:before="260" w:after="260" w:line="416" w:lineRule="auto"/>
      <w:outlineLvl w:val="2"/>
    </w:pPr>
    <w:rPr>
      <w:b/>
      <w:bCs/>
      <w:sz w:val="32"/>
      <w:szCs w:val="32"/>
    </w:rPr>
  </w:style>
  <w:style w:type="paragraph" w:styleId="5">
    <w:name w:val="heading 4"/>
    <w:basedOn w:val="1"/>
    <w:next w:val="1"/>
    <w:link w:val="85"/>
    <w:unhideWhenUsed/>
    <w:qFormat/>
    <w:uiPriority w:val="0"/>
    <w:pPr>
      <w:keepNext/>
      <w:keepLines/>
      <w:widowControl w:val="0"/>
      <w:spacing w:before="280" w:after="290" w:line="376" w:lineRule="auto"/>
      <w:jc w:val="both"/>
      <w:outlineLvl w:val="3"/>
    </w:pPr>
    <w:rPr>
      <w:rFonts w:asciiTheme="majorHAnsi" w:hAnsiTheme="majorHAnsi" w:eastAsiaTheme="majorEastAsia" w:cstheme="majorBidi"/>
      <w:b/>
      <w:bCs/>
      <w:kern w:val="2"/>
      <w:sz w:val="28"/>
      <w:szCs w:val="28"/>
    </w:rPr>
  </w:style>
  <w:style w:type="paragraph" w:styleId="6">
    <w:name w:val="heading 5"/>
    <w:basedOn w:val="1"/>
    <w:next w:val="1"/>
    <w:link w:val="86"/>
    <w:unhideWhenUsed/>
    <w:qFormat/>
    <w:uiPriority w:val="0"/>
    <w:pPr>
      <w:keepNext/>
      <w:keepLines/>
      <w:widowControl w:val="0"/>
      <w:spacing w:before="280" w:after="290" w:line="376" w:lineRule="auto"/>
      <w:jc w:val="both"/>
      <w:outlineLvl w:val="4"/>
    </w:pPr>
    <w:rPr>
      <w:b/>
      <w:bCs/>
      <w:kern w:val="2"/>
      <w:sz w:val="28"/>
      <w:szCs w:val="28"/>
    </w:rPr>
  </w:style>
  <w:style w:type="paragraph" w:styleId="7">
    <w:name w:val="heading 6"/>
    <w:basedOn w:val="1"/>
    <w:next w:val="1"/>
    <w:link w:val="87"/>
    <w:qFormat/>
    <w:uiPriority w:val="0"/>
    <w:pPr>
      <w:keepNext/>
      <w:keepLines/>
      <w:widowControl w:val="0"/>
      <w:spacing w:before="240" w:after="64" w:line="317" w:lineRule="auto"/>
      <w:jc w:val="both"/>
      <w:outlineLvl w:val="5"/>
    </w:pPr>
    <w:rPr>
      <w:rFonts w:ascii="Cambria" w:hAnsi="Cambria"/>
      <w:b/>
      <w:bCs/>
      <w:kern w:val="2"/>
      <w:sz w:val="24"/>
      <w:szCs w:val="24"/>
    </w:rPr>
  </w:style>
  <w:style w:type="paragraph" w:styleId="8">
    <w:name w:val="heading 7"/>
    <w:basedOn w:val="1"/>
    <w:next w:val="1"/>
    <w:link w:val="88"/>
    <w:qFormat/>
    <w:uiPriority w:val="0"/>
    <w:pPr>
      <w:keepNext/>
      <w:keepLines/>
      <w:widowControl w:val="0"/>
      <w:spacing w:before="240" w:after="64" w:line="317" w:lineRule="auto"/>
      <w:jc w:val="both"/>
      <w:outlineLvl w:val="6"/>
    </w:pPr>
    <w:rPr>
      <w:rFonts w:ascii="Calibri" w:hAnsi="Calibri"/>
      <w:b/>
      <w:bCs/>
      <w:kern w:val="2"/>
      <w:sz w:val="24"/>
      <w:szCs w:val="24"/>
    </w:rPr>
  </w:style>
  <w:style w:type="paragraph" w:styleId="9">
    <w:name w:val="heading 8"/>
    <w:basedOn w:val="1"/>
    <w:next w:val="1"/>
    <w:link w:val="89"/>
    <w:qFormat/>
    <w:uiPriority w:val="0"/>
    <w:pPr>
      <w:keepNext/>
      <w:keepLines/>
      <w:widowControl w:val="0"/>
      <w:spacing w:before="240" w:after="64" w:line="317" w:lineRule="auto"/>
      <w:jc w:val="both"/>
      <w:outlineLvl w:val="7"/>
    </w:pPr>
    <w:rPr>
      <w:rFonts w:ascii="Cambria" w:hAnsi="Cambria"/>
      <w:kern w:val="2"/>
      <w:sz w:val="24"/>
      <w:szCs w:val="24"/>
    </w:rPr>
  </w:style>
  <w:style w:type="paragraph" w:styleId="10">
    <w:name w:val="heading 9"/>
    <w:basedOn w:val="1"/>
    <w:next w:val="1"/>
    <w:link w:val="90"/>
    <w:qFormat/>
    <w:uiPriority w:val="0"/>
    <w:pPr>
      <w:keepNext/>
      <w:keepLines/>
      <w:widowControl w:val="0"/>
      <w:spacing w:before="240" w:after="64" w:line="317" w:lineRule="auto"/>
      <w:jc w:val="both"/>
      <w:outlineLvl w:val="8"/>
    </w:pPr>
    <w:rPr>
      <w:rFonts w:ascii="Cambria" w:hAnsi="Cambria"/>
      <w:kern w:val="2"/>
      <w:sz w:val="21"/>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Normal Indent"/>
    <w:basedOn w:val="1"/>
    <w:qFormat/>
    <w:uiPriority w:val="0"/>
    <w:pPr>
      <w:ind w:firstLine="420"/>
    </w:pPr>
  </w:style>
  <w:style w:type="paragraph" w:styleId="13">
    <w:name w:val="caption"/>
    <w:basedOn w:val="1"/>
    <w:next w:val="1"/>
    <w:unhideWhenUsed/>
    <w:qFormat/>
    <w:uiPriority w:val="35"/>
    <w:rPr>
      <w:rFonts w:eastAsia="黑体" w:asciiTheme="majorHAnsi" w:hAnsiTheme="majorHAnsi" w:cstheme="majorBidi"/>
      <w:sz w:val="20"/>
      <w:szCs w:val="20"/>
    </w:rPr>
  </w:style>
  <w:style w:type="paragraph" w:styleId="14">
    <w:name w:val="Document Map"/>
    <w:basedOn w:val="1"/>
    <w:link w:val="50"/>
    <w:qFormat/>
    <w:uiPriority w:val="0"/>
    <w:pPr>
      <w:shd w:val="clear" w:color="auto" w:fill="000080"/>
    </w:pPr>
  </w:style>
  <w:style w:type="paragraph" w:styleId="15">
    <w:name w:val="annotation text"/>
    <w:basedOn w:val="1"/>
    <w:link w:val="51"/>
    <w:qFormat/>
    <w:uiPriority w:val="0"/>
  </w:style>
  <w:style w:type="paragraph" w:styleId="16">
    <w:name w:val="Body Text"/>
    <w:basedOn w:val="1"/>
    <w:next w:val="1"/>
    <w:link w:val="52"/>
    <w:qFormat/>
    <w:uiPriority w:val="0"/>
    <w:pPr>
      <w:tabs>
        <w:tab w:val="left" w:pos="0"/>
        <w:tab w:val="left" w:pos="993"/>
        <w:tab w:val="left" w:pos="1134"/>
      </w:tabs>
      <w:spacing w:line="500" w:lineRule="exact"/>
      <w:jc w:val="both"/>
    </w:pPr>
    <w:rPr>
      <w:rFonts w:ascii="宋体"/>
      <w:sz w:val="28"/>
    </w:rPr>
  </w:style>
  <w:style w:type="paragraph" w:styleId="17">
    <w:name w:val="Body Text Indent"/>
    <w:basedOn w:val="1"/>
    <w:link w:val="53"/>
    <w:qFormat/>
    <w:uiPriority w:val="0"/>
    <w:pPr>
      <w:tabs>
        <w:tab w:val="left" w:pos="0"/>
        <w:tab w:val="left" w:pos="993"/>
        <w:tab w:val="left" w:pos="1134"/>
      </w:tabs>
      <w:spacing w:line="500" w:lineRule="exact"/>
      <w:ind w:firstLine="567"/>
      <w:jc w:val="both"/>
    </w:pPr>
    <w:rPr>
      <w:rFonts w:ascii="宋体"/>
      <w:sz w:val="28"/>
    </w:rPr>
  </w:style>
  <w:style w:type="paragraph" w:styleId="18">
    <w:name w:val="index 4"/>
    <w:basedOn w:val="1"/>
    <w:next w:val="1"/>
    <w:qFormat/>
    <w:uiPriority w:val="0"/>
    <w:pPr>
      <w:widowControl w:val="0"/>
      <w:ind w:left="600" w:leftChars="600"/>
      <w:jc w:val="both"/>
    </w:pPr>
    <w:rPr>
      <w:kern w:val="2"/>
      <w:sz w:val="21"/>
      <w:szCs w:val="24"/>
    </w:rPr>
  </w:style>
  <w:style w:type="paragraph" w:styleId="19">
    <w:name w:val="toc 5"/>
    <w:basedOn w:val="1"/>
    <w:next w:val="1"/>
    <w:qFormat/>
    <w:uiPriority w:val="0"/>
    <w:pPr>
      <w:ind w:left="1680" w:leftChars="800"/>
    </w:pPr>
  </w:style>
  <w:style w:type="paragraph" w:styleId="20">
    <w:name w:val="toc 3"/>
    <w:basedOn w:val="1"/>
    <w:next w:val="1"/>
    <w:qFormat/>
    <w:uiPriority w:val="0"/>
    <w:pPr>
      <w:ind w:left="840" w:leftChars="400"/>
    </w:pPr>
  </w:style>
  <w:style w:type="paragraph" w:styleId="21">
    <w:name w:val="Plain Text"/>
    <w:basedOn w:val="1"/>
    <w:link w:val="54"/>
    <w:qFormat/>
    <w:uiPriority w:val="0"/>
    <w:pPr>
      <w:widowControl w:val="0"/>
      <w:jc w:val="both"/>
    </w:pPr>
    <w:rPr>
      <w:rFonts w:ascii="宋体" w:hAnsi="Courier New" w:cs="金山简魏碑"/>
      <w:kern w:val="2"/>
      <w:sz w:val="21"/>
      <w:szCs w:val="21"/>
    </w:rPr>
  </w:style>
  <w:style w:type="paragraph" w:styleId="22">
    <w:name w:val="toc 8"/>
    <w:basedOn w:val="1"/>
    <w:next w:val="1"/>
    <w:qFormat/>
    <w:uiPriority w:val="0"/>
    <w:pPr>
      <w:ind w:left="2940" w:leftChars="1400"/>
    </w:pPr>
  </w:style>
  <w:style w:type="paragraph" w:styleId="23">
    <w:name w:val="Date"/>
    <w:basedOn w:val="1"/>
    <w:next w:val="1"/>
    <w:link w:val="91"/>
    <w:unhideWhenUsed/>
    <w:qFormat/>
    <w:uiPriority w:val="0"/>
    <w:pPr>
      <w:widowControl w:val="0"/>
      <w:ind w:left="100" w:leftChars="2500"/>
      <w:jc w:val="both"/>
    </w:pPr>
    <w:rPr>
      <w:kern w:val="2"/>
      <w:sz w:val="21"/>
    </w:rPr>
  </w:style>
  <w:style w:type="paragraph" w:styleId="24">
    <w:name w:val="Body Text Indent 2"/>
    <w:basedOn w:val="1"/>
    <w:link w:val="55"/>
    <w:qFormat/>
    <w:uiPriority w:val="0"/>
    <w:pPr>
      <w:tabs>
        <w:tab w:val="left" w:pos="0"/>
        <w:tab w:val="left" w:pos="993"/>
        <w:tab w:val="left" w:pos="1134"/>
      </w:tabs>
      <w:spacing w:line="500" w:lineRule="exact"/>
      <w:ind w:firstLine="851"/>
      <w:jc w:val="both"/>
    </w:pPr>
    <w:rPr>
      <w:rFonts w:ascii="楷体_GB2312" w:eastAsia="楷体_GB2312"/>
      <w:b/>
      <w:spacing w:val="-24"/>
      <w:sz w:val="28"/>
    </w:rPr>
  </w:style>
  <w:style w:type="paragraph" w:styleId="25">
    <w:name w:val="Balloon Text"/>
    <w:basedOn w:val="1"/>
    <w:link w:val="56"/>
    <w:qFormat/>
    <w:uiPriority w:val="0"/>
    <w:rPr>
      <w:sz w:val="18"/>
      <w:szCs w:val="18"/>
    </w:rPr>
  </w:style>
  <w:style w:type="paragraph" w:styleId="26">
    <w:name w:val="footer"/>
    <w:basedOn w:val="1"/>
    <w:link w:val="57"/>
    <w:qFormat/>
    <w:uiPriority w:val="99"/>
    <w:pPr>
      <w:tabs>
        <w:tab w:val="center" w:pos="4153"/>
        <w:tab w:val="right" w:pos="8306"/>
      </w:tabs>
      <w:snapToGrid w:val="0"/>
    </w:pPr>
    <w:rPr>
      <w:sz w:val="18"/>
      <w:szCs w:val="18"/>
    </w:rPr>
  </w:style>
  <w:style w:type="paragraph" w:styleId="27">
    <w:name w:val="header"/>
    <w:basedOn w:val="1"/>
    <w:link w:val="58"/>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0"/>
  </w:style>
  <w:style w:type="paragraph" w:styleId="29">
    <w:name w:val="toc 4"/>
    <w:basedOn w:val="1"/>
    <w:next w:val="1"/>
    <w:qFormat/>
    <w:uiPriority w:val="0"/>
    <w:pPr>
      <w:ind w:left="1260" w:leftChars="600"/>
    </w:pPr>
  </w:style>
  <w:style w:type="paragraph" w:styleId="30">
    <w:name w:val="Subtitle"/>
    <w:basedOn w:val="1"/>
    <w:next w:val="1"/>
    <w:link w:val="107"/>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1">
    <w:name w:val="toc 6"/>
    <w:basedOn w:val="1"/>
    <w:next w:val="1"/>
    <w:qFormat/>
    <w:uiPriority w:val="0"/>
    <w:pPr>
      <w:ind w:left="2100" w:leftChars="1000"/>
    </w:pPr>
  </w:style>
  <w:style w:type="paragraph" w:styleId="32">
    <w:name w:val="Body Text Indent 3"/>
    <w:basedOn w:val="1"/>
    <w:link w:val="59"/>
    <w:qFormat/>
    <w:uiPriority w:val="0"/>
    <w:pPr>
      <w:tabs>
        <w:tab w:val="left" w:pos="0"/>
        <w:tab w:val="left" w:pos="1134"/>
      </w:tabs>
      <w:adjustRightInd w:val="0"/>
      <w:snapToGrid w:val="0"/>
      <w:spacing w:line="360" w:lineRule="auto"/>
      <w:ind w:left="567"/>
    </w:pPr>
    <w:rPr>
      <w:rFonts w:ascii="仿宋_GB2312" w:eastAsia="仿宋_GB2312"/>
      <w:sz w:val="28"/>
    </w:rPr>
  </w:style>
  <w:style w:type="paragraph" w:styleId="33">
    <w:name w:val="toc 2"/>
    <w:basedOn w:val="1"/>
    <w:next w:val="1"/>
    <w:qFormat/>
    <w:uiPriority w:val="0"/>
    <w:pPr>
      <w:tabs>
        <w:tab w:val="right" w:leader="dot" w:pos="9176"/>
      </w:tabs>
      <w:ind w:left="400" w:leftChars="200"/>
    </w:pPr>
    <w:rPr>
      <w:rFonts w:ascii="楷体_GB2312" w:eastAsia="楷体_GB2312"/>
      <w:szCs w:val="32"/>
    </w:rPr>
  </w:style>
  <w:style w:type="paragraph" w:styleId="34">
    <w:name w:val="toc 9"/>
    <w:basedOn w:val="1"/>
    <w:next w:val="1"/>
    <w:qFormat/>
    <w:uiPriority w:val="0"/>
    <w:pPr>
      <w:ind w:left="3360" w:leftChars="1600"/>
    </w:pPr>
  </w:style>
  <w:style w:type="paragraph" w:styleId="35">
    <w:name w:val="Body Text 2"/>
    <w:basedOn w:val="1"/>
    <w:link w:val="60"/>
    <w:qFormat/>
    <w:uiPriority w:val="0"/>
    <w:pPr>
      <w:tabs>
        <w:tab w:val="left" w:pos="0"/>
        <w:tab w:val="left" w:pos="993"/>
        <w:tab w:val="left" w:pos="1134"/>
      </w:tabs>
      <w:spacing w:line="240" w:lineRule="exact"/>
      <w:jc w:val="both"/>
    </w:pPr>
    <w:rPr>
      <w:rFonts w:ascii="楷体_GB2312" w:eastAsia="楷体_GB2312"/>
      <w:sz w:val="18"/>
    </w:rPr>
  </w:style>
  <w:style w:type="paragraph" w:styleId="36">
    <w:name w:val="Normal (Web)"/>
    <w:basedOn w:val="1"/>
    <w:qFormat/>
    <w:uiPriority w:val="0"/>
    <w:pPr>
      <w:spacing w:before="100" w:beforeAutospacing="1" w:after="100" w:afterAutospacing="1"/>
    </w:pPr>
    <w:rPr>
      <w:rFonts w:ascii="宋体" w:hAnsi="宋体" w:cs="宋体"/>
      <w:sz w:val="24"/>
      <w:szCs w:val="24"/>
    </w:rPr>
  </w:style>
  <w:style w:type="paragraph" w:styleId="37">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38">
    <w:name w:val="annotation subject"/>
    <w:basedOn w:val="15"/>
    <w:next w:val="15"/>
    <w:link w:val="61"/>
    <w:qFormat/>
    <w:uiPriority w:val="0"/>
    <w:rPr>
      <w:b/>
      <w:bCs/>
    </w:rPr>
  </w:style>
  <w:style w:type="table" w:styleId="40">
    <w:name w:val="Table Grid"/>
    <w:basedOn w:val="39"/>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2">
    <w:name w:val="page number"/>
    <w:basedOn w:val="41"/>
    <w:qFormat/>
    <w:uiPriority w:val="0"/>
  </w:style>
  <w:style w:type="character" w:styleId="43">
    <w:name w:val="FollowedHyperlink"/>
    <w:qFormat/>
    <w:uiPriority w:val="0"/>
    <w:rPr>
      <w:color w:val="800080"/>
      <w:u w:val="single"/>
    </w:rPr>
  </w:style>
  <w:style w:type="character" w:styleId="44">
    <w:name w:val="Emphasis"/>
    <w:qFormat/>
    <w:uiPriority w:val="0"/>
  </w:style>
  <w:style w:type="character" w:styleId="45">
    <w:name w:val="Hyperlink"/>
    <w:qFormat/>
    <w:uiPriority w:val="0"/>
    <w:rPr>
      <w:color w:val="0000FF"/>
      <w:u w:val="single"/>
    </w:rPr>
  </w:style>
  <w:style w:type="character" w:styleId="46">
    <w:name w:val="annotation reference"/>
    <w:qFormat/>
    <w:uiPriority w:val="0"/>
    <w:rPr>
      <w:sz w:val="21"/>
      <w:szCs w:val="21"/>
    </w:rPr>
  </w:style>
  <w:style w:type="character" w:customStyle="1" w:styleId="47">
    <w:name w:val="标题 1 Char"/>
    <w:basedOn w:val="41"/>
    <w:link w:val="2"/>
    <w:qFormat/>
    <w:uiPriority w:val="0"/>
    <w:rPr>
      <w:rFonts w:ascii="Times New Roman" w:hAnsi="Times New Roman" w:eastAsia="宋体" w:cs="Times New Roman"/>
      <w:b/>
      <w:bCs/>
      <w:kern w:val="44"/>
      <w:sz w:val="44"/>
      <w:szCs w:val="44"/>
    </w:rPr>
  </w:style>
  <w:style w:type="character" w:customStyle="1" w:styleId="48">
    <w:name w:val="标题 2 Char"/>
    <w:basedOn w:val="41"/>
    <w:link w:val="3"/>
    <w:qFormat/>
    <w:uiPriority w:val="0"/>
    <w:rPr>
      <w:rFonts w:ascii="Arial" w:hAnsi="Arial" w:eastAsia="黑体" w:cs="Times New Roman"/>
      <w:b/>
      <w:kern w:val="2"/>
      <w:sz w:val="32"/>
    </w:rPr>
  </w:style>
  <w:style w:type="character" w:customStyle="1" w:styleId="49">
    <w:name w:val="标题 3 Char"/>
    <w:basedOn w:val="41"/>
    <w:link w:val="4"/>
    <w:qFormat/>
    <w:uiPriority w:val="0"/>
    <w:rPr>
      <w:rFonts w:ascii="Times New Roman" w:hAnsi="Times New Roman" w:eastAsia="宋体" w:cs="Times New Roman"/>
      <w:b/>
      <w:bCs/>
      <w:sz w:val="32"/>
      <w:szCs w:val="32"/>
    </w:rPr>
  </w:style>
  <w:style w:type="character" w:customStyle="1" w:styleId="50">
    <w:name w:val="文档结构图 Char"/>
    <w:basedOn w:val="41"/>
    <w:link w:val="14"/>
    <w:qFormat/>
    <w:uiPriority w:val="0"/>
    <w:rPr>
      <w:rFonts w:ascii="Times New Roman" w:hAnsi="Times New Roman" w:eastAsia="宋体" w:cs="Times New Roman"/>
      <w:shd w:val="clear" w:color="auto" w:fill="000080"/>
    </w:rPr>
  </w:style>
  <w:style w:type="character" w:customStyle="1" w:styleId="51">
    <w:name w:val="批注文字 Char"/>
    <w:basedOn w:val="41"/>
    <w:link w:val="15"/>
    <w:qFormat/>
    <w:uiPriority w:val="0"/>
    <w:rPr>
      <w:rFonts w:ascii="Times New Roman" w:hAnsi="Times New Roman" w:eastAsia="宋体" w:cs="Times New Roman"/>
    </w:rPr>
  </w:style>
  <w:style w:type="character" w:customStyle="1" w:styleId="52">
    <w:name w:val="正文文本 Char"/>
    <w:basedOn w:val="41"/>
    <w:link w:val="16"/>
    <w:qFormat/>
    <w:uiPriority w:val="0"/>
    <w:rPr>
      <w:rFonts w:ascii="宋体" w:hAnsi="Times New Roman" w:eastAsia="宋体" w:cs="Times New Roman"/>
      <w:sz w:val="28"/>
    </w:rPr>
  </w:style>
  <w:style w:type="character" w:customStyle="1" w:styleId="53">
    <w:name w:val="正文文本缩进 Char"/>
    <w:basedOn w:val="41"/>
    <w:link w:val="17"/>
    <w:qFormat/>
    <w:uiPriority w:val="0"/>
    <w:rPr>
      <w:rFonts w:ascii="宋体" w:hAnsi="Times New Roman" w:eastAsia="宋体" w:cs="Times New Roman"/>
      <w:sz w:val="28"/>
    </w:rPr>
  </w:style>
  <w:style w:type="character" w:customStyle="1" w:styleId="54">
    <w:name w:val="纯文本 Char"/>
    <w:link w:val="21"/>
    <w:qFormat/>
    <w:uiPriority w:val="0"/>
    <w:rPr>
      <w:rFonts w:ascii="宋体" w:hAnsi="Courier New" w:eastAsia="宋体" w:cs="金山简魏碑"/>
      <w:kern w:val="2"/>
      <w:sz w:val="21"/>
      <w:szCs w:val="21"/>
      <w:lang w:val="en-US" w:eastAsia="zh-CN" w:bidi="ar-SA"/>
    </w:rPr>
  </w:style>
  <w:style w:type="character" w:customStyle="1" w:styleId="55">
    <w:name w:val="正文文本缩进 2 Char"/>
    <w:basedOn w:val="41"/>
    <w:link w:val="24"/>
    <w:qFormat/>
    <w:uiPriority w:val="0"/>
    <w:rPr>
      <w:rFonts w:ascii="楷体_GB2312" w:hAnsi="Times New Roman" w:eastAsia="楷体_GB2312" w:cs="Times New Roman"/>
      <w:b/>
      <w:spacing w:val="-24"/>
      <w:sz w:val="28"/>
    </w:rPr>
  </w:style>
  <w:style w:type="character" w:customStyle="1" w:styleId="56">
    <w:name w:val="批注框文本 Char"/>
    <w:basedOn w:val="41"/>
    <w:link w:val="25"/>
    <w:qFormat/>
    <w:uiPriority w:val="0"/>
    <w:rPr>
      <w:rFonts w:ascii="Times New Roman" w:hAnsi="Times New Roman" w:eastAsia="宋体" w:cs="Times New Roman"/>
      <w:sz w:val="18"/>
      <w:szCs w:val="18"/>
    </w:rPr>
  </w:style>
  <w:style w:type="character" w:customStyle="1" w:styleId="57">
    <w:name w:val="页脚 Char"/>
    <w:basedOn w:val="41"/>
    <w:link w:val="26"/>
    <w:qFormat/>
    <w:uiPriority w:val="99"/>
    <w:rPr>
      <w:rFonts w:ascii="Times New Roman" w:hAnsi="Times New Roman" w:eastAsia="宋体" w:cs="Times New Roman"/>
      <w:sz w:val="18"/>
      <w:szCs w:val="18"/>
    </w:rPr>
  </w:style>
  <w:style w:type="character" w:customStyle="1" w:styleId="58">
    <w:name w:val="页眉 Char"/>
    <w:basedOn w:val="41"/>
    <w:link w:val="27"/>
    <w:qFormat/>
    <w:uiPriority w:val="0"/>
    <w:rPr>
      <w:rFonts w:ascii="Times New Roman" w:hAnsi="Times New Roman" w:eastAsia="宋体" w:cs="Times New Roman"/>
      <w:sz w:val="18"/>
      <w:szCs w:val="18"/>
    </w:rPr>
  </w:style>
  <w:style w:type="character" w:customStyle="1" w:styleId="59">
    <w:name w:val="正文文本缩进 3 Char"/>
    <w:basedOn w:val="41"/>
    <w:link w:val="32"/>
    <w:qFormat/>
    <w:uiPriority w:val="0"/>
    <w:rPr>
      <w:rFonts w:ascii="仿宋_GB2312" w:hAnsi="Times New Roman" w:eastAsia="仿宋_GB2312" w:cs="Times New Roman"/>
      <w:sz w:val="28"/>
    </w:rPr>
  </w:style>
  <w:style w:type="character" w:customStyle="1" w:styleId="60">
    <w:name w:val="正文文本 2 Char"/>
    <w:basedOn w:val="41"/>
    <w:link w:val="35"/>
    <w:qFormat/>
    <w:uiPriority w:val="0"/>
    <w:rPr>
      <w:rFonts w:ascii="楷体_GB2312" w:hAnsi="Times New Roman" w:eastAsia="楷体_GB2312" w:cs="Times New Roman"/>
      <w:sz w:val="18"/>
    </w:rPr>
  </w:style>
  <w:style w:type="character" w:customStyle="1" w:styleId="61">
    <w:name w:val="批注主题 Char"/>
    <w:basedOn w:val="51"/>
    <w:link w:val="38"/>
    <w:qFormat/>
    <w:uiPriority w:val="0"/>
    <w:rPr>
      <w:rFonts w:ascii="Times New Roman" w:hAnsi="Times New Roman" w:eastAsia="宋体" w:cs="Times New Roman"/>
      <w:b/>
      <w:bCs/>
    </w:rPr>
  </w:style>
  <w:style w:type="character" w:customStyle="1" w:styleId="62">
    <w:name w:val="正文文本 (6)_"/>
    <w:basedOn w:val="41"/>
    <w:link w:val="63"/>
    <w:qFormat/>
    <w:uiPriority w:val="0"/>
    <w:rPr>
      <w:rFonts w:ascii="宋体" w:hAnsi="宋体"/>
      <w:sz w:val="23"/>
      <w:szCs w:val="23"/>
      <w:shd w:val="clear" w:color="auto" w:fill="FFFFFF"/>
    </w:rPr>
  </w:style>
  <w:style w:type="paragraph" w:customStyle="1" w:styleId="63">
    <w:name w:val="正文文本 (6)"/>
    <w:basedOn w:val="1"/>
    <w:link w:val="62"/>
    <w:qFormat/>
    <w:uiPriority w:val="0"/>
    <w:pPr>
      <w:widowControl w:val="0"/>
      <w:shd w:val="clear" w:color="auto" w:fill="FFFFFF"/>
      <w:spacing w:line="312" w:lineRule="exact"/>
      <w:ind w:firstLine="360"/>
      <w:jc w:val="both"/>
    </w:pPr>
    <w:rPr>
      <w:rFonts w:ascii="宋体" w:hAnsi="宋体"/>
      <w:sz w:val="23"/>
      <w:szCs w:val="23"/>
    </w:rPr>
  </w:style>
  <w:style w:type="paragraph" w:customStyle="1" w:styleId="64">
    <w:name w:val="p0"/>
    <w:basedOn w:val="1"/>
    <w:qFormat/>
    <w:uiPriority w:val="0"/>
    <w:pPr>
      <w:jc w:val="both"/>
    </w:pPr>
    <w:rPr>
      <w:rFonts w:hint="eastAsia"/>
      <w:kern w:val="2"/>
      <w:sz w:val="21"/>
      <w:szCs w:val="24"/>
    </w:rPr>
  </w:style>
  <w:style w:type="paragraph" w:customStyle="1" w:styleId="65">
    <w:name w:val="Blockquote"/>
    <w:basedOn w:val="1"/>
    <w:qFormat/>
    <w:uiPriority w:val="0"/>
    <w:pPr>
      <w:widowControl w:val="0"/>
      <w:autoSpaceDE w:val="0"/>
      <w:autoSpaceDN w:val="0"/>
      <w:adjustRightInd w:val="0"/>
      <w:spacing w:before="100" w:after="100"/>
      <w:ind w:left="360" w:right="360"/>
    </w:pPr>
    <w:rPr>
      <w:sz w:val="24"/>
    </w:rPr>
  </w:style>
  <w:style w:type="paragraph" w:customStyle="1" w:styleId="66">
    <w:name w:val="Char"/>
    <w:basedOn w:val="1"/>
    <w:qFormat/>
    <w:uiPriority w:val="0"/>
    <w:pPr>
      <w:widowControl w:val="0"/>
      <w:jc w:val="both"/>
    </w:pPr>
    <w:rPr>
      <w:kern w:val="2"/>
      <w:sz w:val="30"/>
      <w:szCs w:val="24"/>
    </w:rPr>
  </w:style>
  <w:style w:type="paragraph" w:customStyle="1" w:styleId="67">
    <w:name w:val="Char16"/>
    <w:basedOn w:val="1"/>
    <w:qFormat/>
    <w:uiPriority w:val="0"/>
    <w:pPr>
      <w:widowControl w:val="0"/>
      <w:jc w:val="both"/>
    </w:pPr>
    <w:rPr>
      <w:kern w:val="2"/>
      <w:sz w:val="21"/>
    </w:rPr>
  </w:style>
  <w:style w:type="paragraph" w:customStyle="1" w:styleId="68">
    <w:name w:val="font6"/>
    <w:basedOn w:val="1"/>
    <w:qFormat/>
    <w:uiPriority w:val="0"/>
    <w:pPr>
      <w:spacing w:before="100" w:beforeAutospacing="1" w:after="100" w:afterAutospacing="1"/>
    </w:pPr>
    <w:rPr>
      <w:sz w:val="24"/>
      <w:szCs w:val="24"/>
    </w:rPr>
  </w:style>
  <w:style w:type="paragraph" w:customStyle="1" w:styleId="69">
    <w:name w:val="Char Char Char Char Char Char"/>
    <w:basedOn w:val="1"/>
    <w:qFormat/>
    <w:uiPriority w:val="0"/>
    <w:pPr>
      <w:spacing w:after="160" w:line="240" w:lineRule="exact"/>
    </w:pPr>
    <w:rPr>
      <w:rFonts w:ascii="Arial" w:hAnsi="Arial" w:eastAsia="Times New Roman" w:cs="Verdana"/>
      <w:b/>
      <w:sz w:val="21"/>
      <w:lang w:eastAsia="en-US"/>
    </w:rPr>
  </w:style>
  <w:style w:type="paragraph" w:customStyle="1" w:styleId="70">
    <w:name w:val="Char Char Char Char"/>
    <w:basedOn w:val="14"/>
    <w:qFormat/>
    <w:uiPriority w:val="0"/>
    <w:pPr>
      <w:widowControl w:val="0"/>
      <w:adjustRightInd w:val="0"/>
      <w:snapToGrid w:val="0"/>
      <w:spacing w:line="360" w:lineRule="auto"/>
      <w:jc w:val="both"/>
    </w:pPr>
    <w:rPr>
      <w:kern w:val="2"/>
      <w:sz w:val="21"/>
      <w:szCs w:val="24"/>
    </w:rPr>
  </w:style>
  <w:style w:type="paragraph" w:customStyle="1" w:styleId="71">
    <w:name w:val="xl31"/>
    <w:basedOn w:val="1"/>
    <w:qFormat/>
    <w:uiPriority w:val="0"/>
    <w:pPr>
      <w:pBdr>
        <w:left w:val="single" w:color="auto" w:sz="4" w:space="0"/>
        <w:bottom w:val="single" w:color="auto" w:sz="4" w:space="0"/>
      </w:pBdr>
      <w:spacing w:before="100" w:beforeAutospacing="1" w:after="100" w:afterAutospacing="1"/>
      <w:jc w:val="center"/>
      <w:textAlignment w:val="center"/>
    </w:pPr>
    <w:rPr>
      <w:rFonts w:ascii="宋体" w:hAnsi="宋体"/>
      <w:sz w:val="24"/>
      <w:szCs w:val="24"/>
    </w:rPr>
  </w:style>
  <w:style w:type="paragraph" w:customStyle="1" w:styleId="72">
    <w:name w:val="reader-word-layer"/>
    <w:basedOn w:val="1"/>
    <w:qFormat/>
    <w:uiPriority w:val="0"/>
    <w:pPr>
      <w:spacing w:before="100" w:beforeAutospacing="1" w:after="100" w:afterAutospacing="1"/>
    </w:pPr>
    <w:rPr>
      <w:rFonts w:ascii="宋体" w:hAnsi="宋体" w:cs="宋体"/>
      <w:sz w:val="24"/>
      <w:szCs w:val="24"/>
    </w:rPr>
  </w:style>
  <w:style w:type="paragraph" w:styleId="73">
    <w:name w:val="List Paragraph"/>
    <w:basedOn w:val="1"/>
    <w:unhideWhenUsed/>
    <w:qFormat/>
    <w:uiPriority w:val="34"/>
    <w:pPr>
      <w:ind w:firstLine="420" w:firstLineChars="200"/>
    </w:pPr>
  </w:style>
  <w:style w:type="character" w:customStyle="1" w:styleId="74">
    <w:name w:val="批注框文本 Char1"/>
    <w:basedOn w:val="41"/>
    <w:qFormat/>
    <w:uiPriority w:val="0"/>
    <w:rPr>
      <w:rFonts w:ascii="Times New Roman" w:hAnsi="Times New Roman"/>
      <w:kern w:val="2"/>
      <w:sz w:val="18"/>
      <w:szCs w:val="18"/>
    </w:rPr>
  </w:style>
  <w:style w:type="character" w:customStyle="1" w:styleId="75">
    <w:name w:val="纯文本 Char1"/>
    <w:basedOn w:val="41"/>
    <w:semiHidden/>
    <w:qFormat/>
    <w:uiPriority w:val="99"/>
    <w:rPr>
      <w:rFonts w:ascii="宋体" w:hAnsi="Courier New" w:cs="Courier New"/>
      <w:kern w:val="2"/>
      <w:sz w:val="21"/>
      <w:szCs w:val="21"/>
    </w:rPr>
  </w:style>
  <w:style w:type="character" w:customStyle="1" w:styleId="76">
    <w:name w:val="批注文字 Char1"/>
    <w:basedOn w:val="41"/>
    <w:qFormat/>
    <w:uiPriority w:val="0"/>
    <w:rPr>
      <w:rFonts w:ascii="Times New Roman" w:hAnsi="Times New Roman" w:eastAsia="宋体" w:cs="Times New Roman"/>
    </w:rPr>
  </w:style>
  <w:style w:type="character" w:customStyle="1" w:styleId="77">
    <w:name w:val="批注主题 Char1"/>
    <w:basedOn w:val="76"/>
    <w:qFormat/>
    <w:uiPriority w:val="0"/>
    <w:rPr>
      <w:rFonts w:ascii="Times New Roman" w:hAnsi="Times New Roman" w:eastAsia="宋体" w:cs="Times New Roman"/>
      <w:b/>
      <w:bCs/>
    </w:rPr>
  </w:style>
  <w:style w:type="character" w:customStyle="1" w:styleId="78">
    <w:name w:val="文档结构图 Char1"/>
    <w:basedOn w:val="41"/>
    <w:qFormat/>
    <w:uiPriority w:val="0"/>
    <w:rPr>
      <w:rFonts w:ascii="宋体" w:hAnsi="Times New Roman"/>
      <w:kern w:val="2"/>
      <w:sz w:val="18"/>
      <w:szCs w:val="18"/>
    </w:rPr>
  </w:style>
  <w:style w:type="character" w:customStyle="1" w:styleId="79">
    <w:name w:val="页脚 Char1"/>
    <w:qFormat/>
    <w:uiPriority w:val="99"/>
    <w:rPr>
      <w:kern w:val="2"/>
      <w:sz w:val="18"/>
      <w:szCs w:val="18"/>
    </w:rPr>
  </w:style>
  <w:style w:type="character" w:customStyle="1" w:styleId="80">
    <w:name w:val="正文文本缩进 2 Char1"/>
    <w:basedOn w:val="41"/>
    <w:semiHidden/>
    <w:qFormat/>
    <w:uiPriority w:val="99"/>
    <w:rPr>
      <w:rFonts w:ascii="Times New Roman" w:hAnsi="Times New Roman"/>
      <w:kern w:val="2"/>
      <w:sz w:val="21"/>
      <w:szCs w:val="24"/>
    </w:rPr>
  </w:style>
  <w:style w:type="character" w:customStyle="1" w:styleId="81">
    <w:name w:val="正文文本缩进 Char1"/>
    <w:basedOn w:val="41"/>
    <w:semiHidden/>
    <w:qFormat/>
    <w:uiPriority w:val="99"/>
    <w:rPr>
      <w:rFonts w:ascii="Times New Roman" w:hAnsi="Times New Roman"/>
      <w:kern w:val="2"/>
      <w:sz w:val="21"/>
      <w:szCs w:val="24"/>
    </w:rPr>
  </w:style>
  <w:style w:type="character" w:customStyle="1" w:styleId="82">
    <w:name w:val="正文文本 Char1"/>
    <w:basedOn w:val="41"/>
    <w:qFormat/>
    <w:uiPriority w:val="0"/>
    <w:rPr>
      <w:rFonts w:ascii="Times New Roman" w:hAnsi="Times New Roman"/>
      <w:kern w:val="2"/>
      <w:sz w:val="21"/>
      <w:szCs w:val="24"/>
    </w:rPr>
  </w:style>
  <w:style w:type="character" w:customStyle="1" w:styleId="83">
    <w:name w:val="纯文本 Char2"/>
    <w:basedOn w:val="41"/>
    <w:semiHidden/>
    <w:qFormat/>
    <w:uiPriority w:val="99"/>
    <w:rPr>
      <w:rFonts w:ascii="宋体" w:hAnsi="Courier New" w:eastAsia="宋体" w:cs="Courier New"/>
      <w:szCs w:val="21"/>
    </w:rPr>
  </w:style>
  <w:style w:type="paragraph" w:customStyle="1" w:styleId="8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85">
    <w:name w:val="标题 4 Char"/>
    <w:basedOn w:val="41"/>
    <w:link w:val="5"/>
    <w:qFormat/>
    <w:uiPriority w:val="0"/>
    <w:rPr>
      <w:rFonts w:asciiTheme="majorHAnsi" w:hAnsiTheme="majorHAnsi" w:eastAsiaTheme="majorEastAsia" w:cstheme="majorBidi"/>
      <w:b/>
      <w:bCs/>
      <w:kern w:val="2"/>
      <w:sz w:val="28"/>
      <w:szCs w:val="28"/>
    </w:rPr>
  </w:style>
  <w:style w:type="character" w:customStyle="1" w:styleId="86">
    <w:name w:val="标题 5 Char"/>
    <w:basedOn w:val="41"/>
    <w:link w:val="6"/>
    <w:qFormat/>
    <w:uiPriority w:val="0"/>
    <w:rPr>
      <w:rFonts w:ascii="Times New Roman" w:hAnsi="Times New Roman" w:eastAsia="宋体" w:cs="Times New Roman"/>
      <w:b/>
      <w:bCs/>
      <w:kern w:val="2"/>
      <w:sz w:val="28"/>
      <w:szCs w:val="28"/>
    </w:rPr>
  </w:style>
  <w:style w:type="character" w:customStyle="1" w:styleId="87">
    <w:name w:val="标题 6 Char"/>
    <w:basedOn w:val="41"/>
    <w:link w:val="7"/>
    <w:qFormat/>
    <w:uiPriority w:val="0"/>
    <w:rPr>
      <w:rFonts w:ascii="Cambria" w:hAnsi="Cambria" w:eastAsia="宋体" w:cs="Times New Roman"/>
      <w:b/>
      <w:bCs/>
      <w:kern w:val="2"/>
      <w:sz w:val="24"/>
      <w:szCs w:val="24"/>
    </w:rPr>
  </w:style>
  <w:style w:type="character" w:customStyle="1" w:styleId="88">
    <w:name w:val="标题 7 Char"/>
    <w:basedOn w:val="41"/>
    <w:link w:val="8"/>
    <w:qFormat/>
    <w:uiPriority w:val="0"/>
    <w:rPr>
      <w:rFonts w:ascii="Calibri" w:hAnsi="Calibri" w:eastAsia="宋体" w:cs="Times New Roman"/>
      <w:b/>
      <w:bCs/>
      <w:kern w:val="2"/>
      <w:sz w:val="24"/>
      <w:szCs w:val="24"/>
    </w:rPr>
  </w:style>
  <w:style w:type="character" w:customStyle="1" w:styleId="89">
    <w:name w:val="标题 8 Char"/>
    <w:basedOn w:val="41"/>
    <w:link w:val="9"/>
    <w:qFormat/>
    <w:uiPriority w:val="0"/>
    <w:rPr>
      <w:rFonts w:ascii="Cambria" w:hAnsi="Cambria" w:eastAsia="宋体" w:cs="Times New Roman"/>
      <w:kern w:val="2"/>
      <w:sz w:val="24"/>
      <w:szCs w:val="24"/>
    </w:rPr>
  </w:style>
  <w:style w:type="character" w:customStyle="1" w:styleId="90">
    <w:name w:val="标题 9 Char"/>
    <w:basedOn w:val="41"/>
    <w:link w:val="10"/>
    <w:qFormat/>
    <w:uiPriority w:val="0"/>
    <w:rPr>
      <w:rFonts w:ascii="Cambria" w:hAnsi="Cambria" w:eastAsia="宋体" w:cs="Times New Roman"/>
      <w:kern w:val="2"/>
      <w:sz w:val="21"/>
      <w:szCs w:val="21"/>
    </w:rPr>
  </w:style>
  <w:style w:type="character" w:customStyle="1" w:styleId="91">
    <w:name w:val="日期 Char"/>
    <w:basedOn w:val="41"/>
    <w:link w:val="23"/>
    <w:qFormat/>
    <w:uiPriority w:val="0"/>
    <w:rPr>
      <w:rFonts w:ascii="Times New Roman" w:hAnsi="Times New Roman" w:eastAsia="宋体" w:cs="Times New Roman"/>
      <w:kern w:val="2"/>
      <w:sz w:val="21"/>
    </w:rPr>
  </w:style>
  <w:style w:type="character" w:customStyle="1" w:styleId="92">
    <w:name w:val="标题 4 Char_0"/>
    <w:link w:val="93"/>
    <w:qFormat/>
    <w:uiPriority w:val="0"/>
    <w:rPr>
      <w:rFonts w:ascii="Times New Roman" w:hAnsi="Times New Roman"/>
      <w:sz w:val="24"/>
      <w:szCs w:val="24"/>
    </w:rPr>
  </w:style>
  <w:style w:type="paragraph" w:customStyle="1" w:styleId="93">
    <w:name w:val="标题 41"/>
    <w:basedOn w:val="94"/>
    <w:next w:val="1"/>
    <w:link w:val="92"/>
    <w:qFormat/>
    <w:uiPriority w:val="0"/>
    <w:rPr>
      <w:rFonts w:eastAsiaTheme="minorEastAsia" w:cstheme="minorBidi"/>
      <w:sz w:val="24"/>
      <w:szCs w:val="24"/>
    </w:rPr>
  </w:style>
  <w:style w:type="paragraph" w:customStyle="1" w:styleId="94">
    <w:name w:val="正文1"/>
    <w:qFormat/>
    <w:uiPriority w:val="0"/>
    <w:pPr>
      <w:widowControl w:val="0"/>
      <w:jc w:val="both"/>
    </w:pPr>
    <w:rPr>
      <w:rFonts w:ascii="Times New Roman" w:hAnsi="Times New Roman" w:eastAsia="宋体" w:cs="Times New Roman"/>
      <w:lang w:val="en-US" w:eastAsia="zh-CN" w:bidi="ar-SA"/>
    </w:rPr>
  </w:style>
  <w:style w:type="character" w:customStyle="1" w:styleId="95">
    <w:name w:val="标题5 Char Char"/>
    <w:link w:val="96"/>
    <w:qFormat/>
    <w:uiPriority w:val="0"/>
    <w:rPr>
      <w:rFonts w:ascii="Arial" w:hAnsi="Arial"/>
      <w:b/>
      <w:bCs/>
      <w:sz w:val="24"/>
      <w:szCs w:val="32"/>
    </w:rPr>
  </w:style>
  <w:style w:type="paragraph" w:customStyle="1" w:styleId="96">
    <w:name w:val="标题5"/>
    <w:basedOn w:val="4"/>
    <w:link w:val="95"/>
    <w:qFormat/>
    <w:uiPriority w:val="0"/>
    <w:pPr>
      <w:widowControl w:val="0"/>
      <w:spacing w:line="413" w:lineRule="auto"/>
      <w:jc w:val="both"/>
    </w:pPr>
    <w:rPr>
      <w:rFonts w:ascii="Arial" w:hAnsi="Arial" w:eastAsiaTheme="minorEastAsia" w:cstheme="minorBidi"/>
      <w:sz w:val="24"/>
    </w:rPr>
  </w:style>
  <w:style w:type="character" w:customStyle="1" w:styleId="97">
    <w:name w:val="标题 Char"/>
    <w:qFormat/>
    <w:uiPriority w:val="0"/>
    <w:rPr>
      <w:rFonts w:ascii="Cambria" w:hAnsi="Cambria"/>
      <w:b/>
      <w:bCs/>
      <w:kern w:val="2"/>
      <w:sz w:val="32"/>
      <w:szCs w:val="32"/>
    </w:rPr>
  </w:style>
  <w:style w:type="character" w:customStyle="1" w:styleId="98">
    <w:name w:val="标题4 Char Char"/>
    <w:link w:val="99"/>
    <w:qFormat/>
    <w:uiPriority w:val="0"/>
    <w:rPr>
      <w:rFonts w:ascii="Arial" w:hAnsi="Arial"/>
      <w:b/>
      <w:bCs/>
      <w:sz w:val="24"/>
      <w:szCs w:val="32"/>
    </w:rPr>
  </w:style>
  <w:style w:type="paragraph" w:customStyle="1" w:styleId="99">
    <w:name w:val="标题4"/>
    <w:basedOn w:val="3"/>
    <w:next w:val="18"/>
    <w:link w:val="98"/>
    <w:qFormat/>
    <w:uiPriority w:val="0"/>
    <w:pPr>
      <w:spacing w:line="413" w:lineRule="auto"/>
    </w:pPr>
    <w:rPr>
      <w:rFonts w:eastAsiaTheme="minorEastAsia" w:cstheme="minorBidi"/>
      <w:bCs/>
      <w:kern w:val="0"/>
      <w:sz w:val="24"/>
      <w:szCs w:val="32"/>
    </w:rPr>
  </w:style>
  <w:style w:type="character" w:customStyle="1" w:styleId="100">
    <w:name w:val="明显引用 Char"/>
    <w:qFormat/>
    <w:uiPriority w:val="0"/>
    <w:rPr>
      <w:b/>
      <w:bCs/>
      <w:i/>
      <w:iCs/>
      <w:color w:val="4F81BD"/>
      <w:kern w:val="2"/>
      <w:sz w:val="21"/>
      <w:szCs w:val="22"/>
    </w:rPr>
  </w:style>
  <w:style w:type="paragraph" w:styleId="101">
    <w:name w:val="Intense Quote"/>
    <w:basedOn w:val="1"/>
    <w:next w:val="1"/>
    <w:link w:val="106"/>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102">
    <w:name w:val="副标题 Char"/>
    <w:qFormat/>
    <w:uiPriority w:val="0"/>
    <w:rPr>
      <w:rFonts w:ascii="Cambria" w:hAnsi="Cambria"/>
      <w:b/>
      <w:bCs/>
      <w:kern w:val="28"/>
      <w:sz w:val="32"/>
      <w:szCs w:val="32"/>
    </w:rPr>
  </w:style>
  <w:style w:type="character" w:customStyle="1" w:styleId="103">
    <w:name w:val="引用 Char"/>
    <w:qFormat/>
    <w:uiPriority w:val="0"/>
    <w:rPr>
      <w:i/>
      <w:iCs/>
      <w:color w:val="000000"/>
      <w:kern w:val="2"/>
      <w:sz w:val="21"/>
      <w:szCs w:val="22"/>
    </w:rPr>
  </w:style>
  <w:style w:type="paragraph" w:styleId="104">
    <w:name w:val="Quote"/>
    <w:basedOn w:val="1"/>
    <w:next w:val="1"/>
    <w:link w:val="105"/>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105">
    <w:name w:val="引用 Char1"/>
    <w:basedOn w:val="41"/>
    <w:link w:val="104"/>
    <w:qFormat/>
    <w:uiPriority w:val="99"/>
    <w:rPr>
      <w:rFonts w:ascii="Times New Roman" w:hAnsi="Times New Roman" w:eastAsia="宋体" w:cs="Times New Roman"/>
      <w:i/>
      <w:iCs/>
      <w:color w:val="000000" w:themeColor="text1"/>
      <w14:textFill>
        <w14:solidFill>
          <w14:schemeClr w14:val="tx1"/>
        </w14:solidFill>
      </w14:textFill>
    </w:rPr>
  </w:style>
  <w:style w:type="character" w:customStyle="1" w:styleId="106">
    <w:name w:val="明显引用 Char1"/>
    <w:basedOn w:val="41"/>
    <w:link w:val="101"/>
    <w:qFormat/>
    <w:uiPriority w:val="99"/>
    <w:rPr>
      <w:rFonts w:ascii="Times New Roman" w:hAnsi="Times New Roman" w:eastAsia="宋体" w:cs="Times New Roman"/>
      <w:b/>
      <w:bCs/>
      <w:i/>
      <w:iCs/>
      <w:color w:val="4F81BD" w:themeColor="accent1"/>
      <w14:textFill>
        <w14:solidFill>
          <w14:schemeClr w14:val="accent1"/>
        </w14:solidFill>
      </w14:textFill>
    </w:rPr>
  </w:style>
  <w:style w:type="character" w:customStyle="1" w:styleId="107">
    <w:name w:val="副标题 Char1"/>
    <w:basedOn w:val="41"/>
    <w:link w:val="30"/>
    <w:qFormat/>
    <w:uiPriority w:val="11"/>
    <w:rPr>
      <w:rFonts w:eastAsia="宋体" w:asciiTheme="majorHAnsi" w:hAnsiTheme="majorHAnsi" w:cstheme="majorBidi"/>
      <w:b/>
      <w:bCs/>
      <w:kern w:val="28"/>
      <w:sz w:val="32"/>
      <w:szCs w:val="32"/>
    </w:rPr>
  </w:style>
  <w:style w:type="character" w:customStyle="1" w:styleId="108">
    <w:name w:val="标题 Char1"/>
    <w:basedOn w:val="41"/>
    <w:link w:val="37"/>
    <w:qFormat/>
    <w:uiPriority w:val="10"/>
    <w:rPr>
      <w:rFonts w:eastAsia="宋体" w:asciiTheme="majorHAnsi" w:hAnsiTheme="majorHAnsi" w:cstheme="majorBidi"/>
      <w:b/>
      <w:bCs/>
      <w:sz w:val="32"/>
      <w:szCs w:val="32"/>
    </w:rPr>
  </w:style>
  <w:style w:type="paragraph" w:customStyle="1" w:styleId="109">
    <w:name w:val="Revision"/>
    <w:hidden/>
    <w:unhideWhenUsed/>
    <w:qFormat/>
    <w:uiPriority w:val="99"/>
    <w:rPr>
      <w:rFonts w:ascii="Times New Roman" w:hAnsi="Times New Roman" w:eastAsia="宋体" w:cs="Times New Roman"/>
      <w:lang w:val="en-US" w:eastAsia="zh-CN" w:bidi="ar-SA"/>
    </w:rPr>
  </w:style>
  <w:style w:type="paragraph" w:customStyle="1" w:styleId="110">
    <w:name w:val="正文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1">
    <w:name w:val="图表，文字"/>
    <w:next w:val="1"/>
    <w:qFormat/>
    <w:uiPriority w:val="0"/>
    <w:pPr>
      <w:spacing w:line="360" w:lineRule="auto"/>
      <w:jc w:val="center"/>
    </w:pPr>
    <w:rPr>
      <w:rFonts w:ascii="宋体" w:hAnsi="宋体" w:eastAsia="黑体" w:cs="Times New Roman"/>
      <w:kern w:val="2"/>
      <w:sz w:val="21"/>
      <w:szCs w:val="21"/>
      <w:lang w:val="en-US" w:eastAsia="zh-CN" w:bidi="ar-SA"/>
    </w:rPr>
  </w:style>
  <w:style w:type="paragraph" w:customStyle="1" w:styleId="112">
    <w:name w:val="标题 2_0"/>
    <w:basedOn w:val="110"/>
    <w:next w:val="110"/>
    <w:qFormat/>
    <w:uiPriority w:val="0"/>
    <w:pPr>
      <w:keepNext/>
      <w:keepLines/>
      <w:spacing w:before="260" w:after="260" w:line="416" w:lineRule="auto"/>
      <w:outlineLvl w:val="1"/>
    </w:pPr>
    <w:rPr>
      <w:rFonts w:ascii="Cambria" w:hAnsi="Cambria"/>
      <w:b/>
      <w:bCs/>
      <w:sz w:val="32"/>
      <w:szCs w:val="32"/>
    </w:rPr>
  </w:style>
  <w:style w:type="paragraph" w:customStyle="1" w:styleId="113">
    <w:name w:val="正文_1"/>
    <w:qFormat/>
    <w:uiPriority w:val="0"/>
    <w:pPr>
      <w:pageBreakBefore/>
      <w:widowControl w:val="0"/>
      <w:spacing w:after="120"/>
      <w:jc w:val="center"/>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45</Pages>
  <Words>18879</Words>
  <Characters>20221</Characters>
  <Lines>443</Lines>
  <Paragraphs>514</Paragraphs>
  <TotalTime>18</TotalTime>
  <ScaleCrop>false</ScaleCrop>
  <LinksUpToDate>false</LinksUpToDate>
  <CharactersWithSpaces>20698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2024-04-29T06:59:00Z</dcterms:created>
  <dc:creator>38350</dc:creator>
  <cp:lastModifiedBy>巨瓶男人</cp:lastModifiedBy>
  <cp:lastPrinted>2023-03-07T01:07:00Z</cp:lastPrinted>
  <dcterms:modified xsi:type="dcterms:W3CDTF">2026-01-09T07:20:32Z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CEE5F1601269474384919D62909B20B9</vt:lpwstr>
  </property>
  <property fmtid="{D5CDD505-2E9C-101B-9397-08002B2CF9AE}" pid="4" name="KSOTemplateDocerSaveRecord">
    <vt:lpwstr>eyJoZGlkIjoiMzEwNTM5NzYwMDRjMzkwZTVkZjY2ODkwMGIxNGU0OTUiLCJ1c2VySWQiOiIyOTM5MjU1MDIifQ==</vt:lpwstr>
  </property>
</Properties>
</file>