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36"/>
          <w:szCs w:val="36"/>
          <w:lang w:val="en-US" w:eastAsia="zh-CN"/>
        </w:rPr>
      </w:pPr>
      <w:r>
        <w:rPr>
          <w:rFonts w:hint="eastAsia" w:ascii="黑体" w:eastAsia="黑体"/>
          <w:sz w:val="36"/>
          <w:szCs w:val="36"/>
          <w:lang w:val="en-US" w:eastAsia="zh-CN"/>
        </w:rPr>
        <w:t>地勘需</w:t>
      </w:r>
      <w:r>
        <w:rPr>
          <w:rFonts w:hint="eastAsia" w:ascii="黑体" w:eastAsia="黑体"/>
          <w:sz w:val="36"/>
          <w:szCs w:val="36"/>
          <w:lang w:val="zh-CN"/>
        </w:rPr>
        <w:t>求</w:t>
      </w:r>
      <w:r>
        <w:rPr>
          <w:rFonts w:hint="eastAsia" w:ascii="黑体" w:eastAsia="黑体"/>
          <w:sz w:val="36"/>
          <w:szCs w:val="36"/>
          <w:lang w:val="en-US" w:eastAsia="zh-CN"/>
        </w:rPr>
        <w:t>文件</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lang w:val="en-US" w:eastAsia="zh-CN"/>
        </w:rPr>
      </w:pPr>
      <w:r>
        <w:rPr>
          <w:rFonts w:hint="eastAsia" w:ascii="宋体" w:hAnsi="宋体"/>
          <w:b/>
          <w:bCs/>
          <w:lang w:val="en-US" w:eastAsia="zh-CN"/>
        </w:rPr>
        <w:t>一、勘察范围</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rPr>
      </w:pPr>
      <w:r>
        <w:drawing>
          <wp:inline distT="0" distB="0" distL="114300" distR="114300">
            <wp:extent cx="3305810" cy="244919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305810" cy="244919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宋体" w:hAnsi="宋体"/>
        </w:rPr>
        <w:t>本项目</w:t>
      </w:r>
      <w:r>
        <w:rPr>
          <w:rFonts w:hint="eastAsia" w:ascii="宋体" w:hAnsi="宋体"/>
          <w:lang w:val="en-US" w:eastAsia="zh-CN"/>
        </w:rPr>
        <w:t>为中国药科大学江宁校区游泳池改扩建项目，</w:t>
      </w:r>
      <w:r>
        <w:rPr>
          <w:rFonts w:hint="eastAsia" w:ascii="宋体" w:hAnsi="宋体"/>
        </w:rPr>
        <w:t>总建筑面积拟定为</w:t>
      </w:r>
      <w:r>
        <w:rPr>
          <w:rFonts w:hint="eastAsia" w:ascii="宋体" w:hAnsi="宋体"/>
          <w:u w:val="single"/>
          <w:lang w:val="en-US" w:eastAsia="zh-CN"/>
        </w:rPr>
        <w:t>4600</w:t>
      </w:r>
      <w:r>
        <w:rPr>
          <w:rFonts w:hint="eastAsia" w:ascii="宋体" w:hAnsi="宋体"/>
        </w:rPr>
        <w:t>平方米。勘察区域为该建筑基</w:t>
      </w:r>
      <w:r>
        <w:rPr>
          <w:rFonts w:hint="eastAsia"/>
        </w:rPr>
        <w:t>底范围</w:t>
      </w:r>
      <w:r>
        <w:rPr>
          <w:rFonts w:hint="eastAsia"/>
          <w:lang w:val="en-US" w:eastAsia="zh-CN"/>
        </w:rPr>
        <w:t>及幕墙立柱范围，</w:t>
      </w:r>
      <w:r>
        <w:rPr>
          <w:rFonts w:hint="eastAsia"/>
          <w:u w:val="single"/>
          <w:lang w:val="en-US" w:eastAsia="zh-CN"/>
        </w:rPr>
        <w:t>本次勘察共14孔，孔深为15米，勘察深度共计约210米</w:t>
      </w:r>
      <w:r>
        <w:rPr>
          <w:rFonts w:hint="eastAsia"/>
          <w:u w:val="single"/>
          <w:lang w:eastAsia="zh-CN"/>
        </w:rPr>
        <w:t>，</w:t>
      </w:r>
      <w:r>
        <w:rPr>
          <w:rFonts w:hint="eastAsia"/>
          <w:u w:val="single"/>
          <w:lang w:val="en-US" w:eastAsia="zh-CN"/>
        </w:rPr>
        <w:t>详见《勘察布孔参考图》</w:t>
      </w:r>
      <w:r>
        <w:rPr>
          <w:rFonts w:hint="eastAsia"/>
          <w:lang w:val="en-US" w:eastAsia="zh-CN"/>
        </w:rPr>
        <w:t>。</w:t>
      </w:r>
      <w:r>
        <w:rPr>
          <w:rFonts w:hint="eastAsia" w:asciiTheme="minorHAnsi" w:hAnsiTheme="minorHAnsi" w:eastAsiaTheme="minorEastAsia" w:cstheme="minorBidi"/>
          <w:kern w:val="2"/>
          <w:szCs w:val="22"/>
        </w:rPr>
        <w:t>本项目采用“固定单价合同”</w:t>
      </w:r>
      <w:r>
        <w:rPr>
          <w:rFonts w:hint="eastAsia" w:asciiTheme="minorHAnsi" w:hAnsiTheme="minorHAnsi" w:eastAsiaTheme="minorEastAsia" w:cstheme="minorBidi"/>
          <w:kern w:val="2"/>
          <w:szCs w:val="22"/>
          <w:lang w:eastAsia="zh-CN"/>
        </w:rPr>
        <w:t>，</w:t>
      </w:r>
      <w:r>
        <w:rPr>
          <w:rFonts w:hint="eastAsia" w:asciiTheme="minorHAnsi" w:hAnsiTheme="minorHAnsi" w:eastAsiaTheme="minorEastAsia" w:cstheme="minorBidi"/>
          <w:kern w:val="2"/>
          <w:szCs w:val="22"/>
          <w:lang w:val="en-US" w:eastAsia="zh-CN"/>
        </w:rPr>
        <w:t>最终以实际勘察</w:t>
      </w:r>
      <w:bookmarkStart w:id="0" w:name="_GoBack"/>
      <w:bookmarkEnd w:id="0"/>
      <w:r>
        <w:rPr>
          <w:rFonts w:hint="eastAsia" w:asciiTheme="minorHAnsi" w:hAnsiTheme="minorHAnsi" w:eastAsiaTheme="minorEastAsia" w:cstheme="minorBidi"/>
          <w:kern w:val="2"/>
          <w:szCs w:val="22"/>
          <w:lang w:val="en-US" w:eastAsia="zh-CN"/>
        </w:rPr>
        <w:t>孔数及总深度为准，按实结算</w:t>
      </w:r>
      <w:r>
        <w:rPr>
          <w:rFonts w:hint="eastAsia"/>
          <w:lang w:val="en-US" w:eastAsia="zh-CN"/>
        </w:rPr>
        <w:t>。</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此次为详细勘察(包括绘制5*5米地形方格网及后续基础施工过程中的现场岩样鉴定等工作）。</w:t>
      </w:r>
    </w:p>
    <w:p>
      <w:pPr>
        <w:jc w:val="center"/>
        <w:rPr>
          <w:sz w:val="28"/>
          <w:szCs w:val="18"/>
        </w:rPr>
      </w:pPr>
    </w:p>
    <w:p>
      <w:pPr>
        <w:jc w:val="left"/>
        <w:rPr>
          <w:rFonts w:hint="eastAsia" w:ascii="宋体" w:hAnsi="宋体" w:eastAsia="宋体" w:cs="Times New Roman"/>
          <w:b/>
          <w:bCs/>
          <w:kern w:val="0"/>
          <w:sz w:val="24"/>
          <w:szCs w:val="24"/>
          <w:lang w:val="en-US" w:eastAsia="zh-CN" w:bidi="ar-SA"/>
        </w:rPr>
      </w:pPr>
      <w:r>
        <w:rPr>
          <w:rFonts w:hint="eastAsia" w:ascii="宋体" w:hAnsi="宋体" w:eastAsia="宋体" w:cs="Times New Roman"/>
          <w:b/>
          <w:bCs/>
          <w:kern w:val="0"/>
          <w:sz w:val="24"/>
          <w:szCs w:val="24"/>
          <w:lang w:val="en-US" w:eastAsia="zh-CN" w:bidi="ar-SA"/>
        </w:rPr>
        <w:t>二、勘察任务</w:t>
      </w:r>
    </w:p>
    <w:tbl>
      <w:tblPr>
        <w:tblStyle w:val="4"/>
        <w:tblpPr w:leftFromText="180" w:rightFromText="180" w:vertAnchor="text" w:horzAnchor="margin" w:tblpXSpec="center" w:tblpY="310"/>
        <w:tblW w:w="9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4109"/>
        <w:gridCol w:w="841"/>
        <w:gridCol w:w="3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35" w:type="dxa"/>
            <w:vMerge w:val="restart"/>
            <w:vAlign w:val="center"/>
          </w:tcPr>
          <w:p>
            <w:r>
              <w:rPr>
                <w:rFonts w:hint="eastAsia"/>
              </w:rPr>
              <w:t>勘察技术要求</w:t>
            </w:r>
          </w:p>
        </w:tc>
        <w:tc>
          <w:tcPr>
            <w:tcW w:w="4109" w:type="dxa"/>
            <w:vMerge w:val="restart"/>
          </w:tcPr>
          <w:p>
            <w:r>
              <w:rPr>
                <w:rFonts w:hint="eastAsia"/>
              </w:rPr>
              <w:t>1、 查明建筑场地内的的地层结构、均匀性。应查明软弱地层和坚硬地层的分布，并判定下卧软弱层的形状及厚度，以及各层岩土的物理力学性质，对场地的工程地质条件进行评价。</w:t>
            </w:r>
          </w:p>
          <w:p>
            <w:r>
              <w:rPr>
                <w:rFonts w:hint="eastAsia"/>
              </w:rPr>
              <w:t>2、 查明地下水类型，埋藏情况，腐蚀性以及地下水位的季节性变化幅度，提供抗浮设计水位，对场地水文地质条件进行评价。</w:t>
            </w:r>
          </w:p>
          <w:p>
            <w:r>
              <w:rPr>
                <w:rFonts w:hint="eastAsia"/>
              </w:rPr>
              <w:t>3、 判明场地及其附近有无影响工程稳定性的不良地质现象，判定场地的地震效应及可能存在的砂土层的地震液化效应，提供抗震设计的有关参数。</w:t>
            </w:r>
          </w:p>
          <w:p>
            <w:r>
              <w:rPr>
                <w:rFonts w:hint="eastAsia"/>
              </w:rPr>
              <w:t>4、 提供安全可靠、技术可行、经济合理的基坑支护、基础设计方案并选择合适的持力层，并对基础施工提供建议。</w:t>
            </w:r>
          </w:p>
          <w:p>
            <w:r>
              <w:rPr>
                <w:rFonts w:hint="eastAsia"/>
              </w:rPr>
              <w:t>5、 未尽事宜按《岩土工程勘察规范》（GB50021-2001）（2009年版）中的详细勘查阶段要求进行，且同时满足地方标准及规定的要求。</w:t>
            </w:r>
          </w:p>
        </w:tc>
        <w:tc>
          <w:tcPr>
            <w:tcW w:w="841" w:type="dxa"/>
            <w:vMerge w:val="restart"/>
            <w:vAlign w:val="center"/>
          </w:tcPr>
          <w:p>
            <w:r>
              <w:rPr>
                <w:rFonts w:hint="eastAsia"/>
              </w:rPr>
              <w:t>要求提交勘察资料内 容</w:t>
            </w:r>
          </w:p>
        </w:tc>
        <w:tc>
          <w:tcPr>
            <w:tcW w:w="3636" w:type="dxa"/>
            <w:vMerge w:val="restart"/>
          </w:tcPr>
          <w:p>
            <w:r>
              <w:rPr>
                <w:rFonts w:hint="eastAsia"/>
              </w:rPr>
              <w:t>1、 按国家现行规范提交岩土工程勘察报告及相关图表资料，包含：</w:t>
            </w:r>
          </w:p>
          <w:p>
            <w:r>
              <w:rPr>
                <w:rFonts w:hint="eastAsia"/>
              </w:rPr>
              <w:t>a、场地范围内的地层结构与分析资料；</w:t>
            </w:r>
          </w:p>
          <w:p>
            <w:r>
              <w:rPr>
                <w:rFonts w:hint="eastAsia"/>
              </w:rPr>
              <w:t>b、岩土工程性质指标、承载力及变形计算参数、基础设计方案和建议；</w:t>
            </w:r>
          </w:p>
          <w:p>
            <w:r>
              <w:rPr>
                <w:rFonts w:hint="eastAsia"/>
              </w:rPr>
              <w:t>c、提供边坡稳定计算和支护设计所需的岩土技术参数及有关基坑施工降水的技术参数；</w:t>
            </w:r>
          </w:p>
          <w:p>
            <w:r>
              <w:rPr>
                <w:rFonts w:hint="eastAsia"/>
              </w:rPr>
              <w:t>d、场地土类别及抗震参数等数据及其分析；</w:t>
            </w:r>
          </w:p>
          <w:p>
            <w:r>
              <w:rPr>
                <w:rFonts w:hint="eastAsia"/>
              </w:rPr>
              <w:t>e、水质分析表。</w:t>
            </w:r>
          </w:p>
          <w:p>
            <w:r>
              <w:rPr>
                <w:rFonts w:hint="eastAsia"/>
              </w:rPr>
              <w:t>f、勘察报告成果文件纸质版一式五份，电子稿一份（U盘形式）。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35" w:type="dxa"/>
            <w:vMerge w:val="continue"/>
            <w:vAlign w:val="center"/>
          </w:tcPr>
          <w:p>
            <w:pPr>
              <w:spacing w:line="360" w:lineRule="auto"/>
              <w:jc w:val="center"/>
              <w:rPr>
                <w:rFonts w:ascii="宋体" w:hAnsi="宋体" w:cs="宋体"/>
                <w:sz w:val="24"/>
              </w:rPr>
            </w:pPr>
          </w:p>
        </w:tc>
        <w:tc>
          <w:tcPr>
            <w:tcW w:w="4109" w:type="dxa"/>
            <w:vMerge w:val="continue"/>
          </w:tcPr>
          <w:p>
            <w:pPr>
              <w:spacing w:line="360" w:lineRule="auto"/>
              <w:ind w:left="480" w:hanging="480" w:hangingChars="200"/>
              <w:rPr>
                <w:rFonts w:ascii="宋体" w:hAnsi="宋体" w:cs="宋体"/>
                <w:sz w:val="24"/>
              </w:rPr>
            </w:pPr>
          </w:p>
        </w:tc>
        <w:tc>
          <w:tcPr>
            <w:tcW w:w="841" w:type="dxa"/>
            <w:vMerge w:val="continue"/>
            <w:vAlign w:val="center"/>
          </w:tcPr>
          <w:p>
            <w:pPr>
              <w:spacing w:line="360" w:lineRule="auto"/>
              <w:jc w:val="center"/>
              <w:rPr>
                <w:rFonts w:ascii="宋体" w:hAnsi="宋体" w:cs="宋体"/>
                <w:sz w:val="24"/>
              </w:rPr>
            </w:pPr>
          </w:p>
        </w:tc>
        <w:tc>
          <w:tcPr>
            <w:tcW w:w="3636" w:type="dxa"/>
            <w:vMerge w:val="continue"/>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35" w:type="dxa"/>
            <w:vMerge w:val="continue"/>
            <w:vAlign w:val="center"/>
          </w:tcPr>
          <w:p>
            <w:pPr>
              <w:spacing w:line="360" w:lineRule="auto"/>
              <w:jc w:val="center"/>
              <w:rPr>
                <w:rFonts w:ascii="宋体" w:hAnsi="宋体" w:cs="宋体"/>
                <w:sz w:val="24"/>
              </w:rPr>
            </w:pPr>
          </w:p>
        </w:tc>
        <w:tc>
          <w:tcPr>
            <w:tcW w:w="4109" w:type="dxa"/>
            <w:vMerge w:val="continue"/>
          </w:tcPr>
          <w:p>
            <w:pPr>
              <w:spacing w:line="360" w:lineRule="auto"/>
              <w:ind w:left="480" w:hanging="480" w:hangingChars="200"/>
              <w:rPr>
                <w:rFonts w:ascii="宋体" w:hAnsi="宋体" w:cs="宋体"/>
                <w:sz w:val="24"/>
              </w:rPr>
            </w:pPr>
          </w:p>
        </w:tc>
        <w:tc>
          <w:tcPr>
            <w:tcW w:w="841" w:type="dxa"/>
            <w:vMerge w:val="continue"/>
            <w:vAlign w:val="center"/>
          </w:tcPr>
          <w:p>
            <w:pPr>
              <w:spacing w:line="360" w:lineRule="auto"/>
              <w:jc w:val="center"/>
              <w:rPr>
                <w:rFonts w:ascii="宋体" w:hAnsi="宋体" w:cs="宋体"/>
                <w:sz w:val="24"/>
              </w:rPr>
            </w:pPr>
          </w:p>
        </w:tc>
        <w:tc>
          <w:tcPr>
            <w:tcW w:w="3636" w:type="dxa"/>
            <w:vMerge w:val="continue"/>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35" w:type="dxa"/>
            <w:vMerge w:val="continue"/>
            <w:vAlign w:val="center"/>
          </w:tcPr>
          <w:p>
            <w:pPr>
              <w:spacing w:line="360" w:lineRule="auto"/>
              <w:jc w:val="center"/>
              <w:rPr>
                <w:rFonts w:ascii="宋体" w:hAnsi="宋体" w:cs="宋体"/>
                <w:sz w:val="24"/>
              </w:rPr>
            </w:pPr>
          </w:p>
        </w:tc>
        <w:tc>
          <w:tcPr>
            <w:tcW w:w="4109" w:type="dxa"/>
            <w:vMerge w:val="continue"/>
          </w:tcPr>
          <w:p>
            <w:pPr>
              <w:spacing w:line="360" w:lineRule="auto"/>
              <w:ind w:left="480" w:hanging="480" w:hangingChars="200"/>
              <w:rPr>
                <w:rFonts w:ascii="宋体" w:hAnsi="宋体" w:cs="宋体"/>
                <w:sz w:val="24"/>
              </w:rPr>
            </w:pPr>
          </w:p>
        </w:tc>
        <w:tc>
          <w:tcPr>
            <w:tcW w:w="841" w:type="dxa"/>
            <w:vMerge w:val="continue"/>
            <w:vAlign w:val="center"/>
          </w:tcPr>
          <w:p>
            <w:pPr>
              <w:spacing w:line="360" w:lineRule="auto"/>
              <w:jc w:val="center"/>
              <w:rPr>
                <w:rFonts w:ascii="宋体" w:hAnsi="宋体" w:cs="宋体"/>
                <w:sz w:val="24"/>
              </w:rPr>
            </w:pPr>
          </w:p>
        </w:tc>
        <w:tc>
          <w:tcPr>
            <w:tcW w:w="3636" w:type="dxa"/>
            <w:vMerge w:val="continue"/>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3" w:hRule="atLeast"/>
        </w:trPr>
        <w:tc>
          <w:tcPr>
            <w:tcW w:w="835" w:type="dxa"/>
            <w:vMerge w:val="continue"/>
            <w:vAlign w:val="center"/>
          </w:tcPr>
          <w:p>
            <w:pPr>
              <w:spacing w:line="360" w:lineRule="auto"/>
              <w:jc w:val="center"/>
              <w:rPr>
                <w:rFonts w:ascii="宋体" w:hAnsi="宋体" w:cs="宋体"/>
                <w:sz w:val="24"/>
              </w:rPr>
            </w:pPr>
          </w:p>
        </w:tc>
        <w:tc>
          <w:tcPr>
            <w:tcW w:w="4109" w:type="dxa"/>
            <w:vMerge w:val="continue"/>
          </w:tcPr>
          <w:p>
            <w:pPr>
              <w:spacing w:line="360" w:lineRule="auto"/>
              <w:ind w:left="480" w:hanging="480" w:hangingChars="200"/>
              <w:rPr>
                <w:rFonts w:ascii="宋体" w:hAnsi="宋体" w:cs="宋体"/>
                <w:sz w:val="24"/>
              </w:rPr>
            </w:pPr>
          </w:p>
        </w:tc>
        <w:tc>
          <w:tcPr>
            <w:tcW w:w="841" w:type="dxa"/>
            <w:vMerge w:val="continue"/>
            <w:vAlign w:val="center"/>
          </w:tcPr>
          <w:p>
            <w:pPr>
              <w:spacing w:line="360" w:lineRule="auto"/>
              <w:jc w:val="center"/>
              <w:rPr>
                <w:rFonts w:ascii="宋体" w:hAnsi="宋体" w:cs="宋体"/>
                <w:sz w:val="24"/>
              </w:rPr>
            </w:pPr>
          </w:p>
        </w:tc>
        <w:tc>
          <w:tcPr>
            <w:tcW w:w="3636" w:type="dxa"/>
            <w:vMerge w:val="continue"/>
            <w:vAlign w:val="center"/>
          </w:tcPr>
          <w:p>
            <w:pPr>
              <w:spacing w:line="360" w:lineRule="auto"/>
              <w:rPr>
                <w:rFonts w:ascii="宋体" w:hAnsi="宋体" w:cs="宋体"/>
                <w:sz w:val="24"/>
              </w:rPr>
            </w:pPr>
          </w:p>
        </w:tc>
      </w:tr>
    </w:tbl>
    <w:p>
      <w:pPr>
        <w:numPr>
          <w:ilvl w:val="0"/>
          <w:numId w:val="1"/>
        </w:numPr>
        <w:spacing w:line="340" w:lineRule="exact"/>
        <w:ind w:left="210" w:leftChars="100"/>
        <w:rPr>
          <w:rFonts w:hint="eastAsia" w:ascii="宋体" w:hAnsi="宋体" w:eastAsia="宋体" w:cs="Times New Roman"/>
          <w:b/>
          <w:bCs/>
          <w:kern w:val="0"/>
          <w:sz w:val="24"/>
          <w:szCs w:val="24"/>
          <w:lang w:val="en-US" w:eastAsia="zh-CN" w:bidi="ar-SA"/>
        </w:rPr>
      </w:pPr>
      <w:r>
        <w:rPr>
          <w:rFonts w:hint="eastAsia" w:ascii="宋体" w:hAnsi="宋体" w:eastAsia="宋体" w:cs="Times New Roman"/>
          <w:b/>
          <w:bCs/>
          <w:kern w:val="0"/>
          <w:sz w:val="24"/>
          <w:szCs w:val="24"/>
          <w:lang w:val="en-US" w:eastAsia="zh-CN" w:bidi="ar-SA"/>
        </w:rPr>
        <w:t>合同履行期限</w:t>
      </w:r>
    </w:p>
    <w:p>
      <w:pPr>
        <w:numPr>
          <w:ilvl w:val="0"/>
          <w:numId w:val="0"/>
        </w:numPr>
        <w:spacing w:line="340" w:lineRule="exact"/>
        <w:ind w:firstLine="480" w:firstLineChars="200"/>
        <w:rPr>
          <w:rFonts w:ascii="宋体" w:hAnsi="宋体"/>
          <w:sz w:val="24"/>
        </w:rPr>
      </w:pPr>
      <w:r>
        <w:rPr>
          <w:rFonts w:hint="eastAsia" w:ascii="宋体" w:hAnsi="宋体"/>
          <w:sz w:val="24"/>
        </w:rPr>
        <w:t>开工报告之日起至项目通过竣工验收及其后期配套服务之日止，其中详细勘察（含报告）须在开工报告之日起 2</w:t>
      </w:r>
      <w:r>
        <w:rPr>
          <w:rFonts w:hint="eastAsia" w:ascii="宋体" w:hAnsi="宋体"/>
          <w:sz w:val="24"/>
          <w:lang w:val="en-US" w:eastAsia="zh-CN"/>
        </w:rPr>
        <w:t>0</w:t>
      </w:r>
      <w:r>
        <w:rPr>
          <w:rFonts w:hint="eastAsia" w:ascii="宋体" w:hAnsi="宋体"/>
          <w:sz w:val="24"/>
        </w:rPr>
        <w:t>日历日内完成。</w:t>
      </w:r>
    </w:p>
    <w:p>
      <w:pPr>
        <w:pStyle w:val="3"/>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ECF899"/>
    <w:multiLevelType w:val="singleLevel"/>
    <w:tmpl w:val="3FECF89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kNGFlNmNhNTQ3M2EzOTAyNWY5ODNiZGIwZGMxYjEifQ=="/>
    <w:docVar w:name="KSO_WPS_MARK_KEY" w:val="2df274aa-4675-4808-b0a9-2aedca5c0c39"/>
  </w:docVars>
  <w:rsids>
    <w:rsidRoot w:val="6F6019EA"/>
    <w:rsid w:val="0D9E4C03"/>
    <w:rsid w:val="399F2A94"/>
    <w:rsid w:val="64E52D76"/>
    <w:rsid w:val="6F6019EA"/>
    <w:rsid w:val="70CD6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745</Words>
  <Characters>769</Characters>
  <Lines>0</Lines>
  <Paragraphs>0</Paragraphs>
  <TotalTime>0</TotalTime>
  <ScaleCrop>false</ScaleCrop>
  <LinksUpToDate>false</LinksUpToDate>
  <CharactersWithSpaces>777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2024-03-28T06:58:00Z</dcterms:created>
  <dc:creator>史泽清</dc:creator>
  <cp:lastModifiedBy>史泽清</cp:lastModifiedBy>
  <dcterms:modified xsi:type="dcterms:W3CDTF">2024-03-28T07:55:16Z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CED5179888AF48B1BD9F016BFFB23E2C</vt:lpwstr>
  </property>
</Properties>
</file>